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ava20251231_10k.htm"/>
      <w:bookmarkStart w:id="1" w:name="kssava20251231_10k"/>
      <w:bookmarkEnd w:id="0"/>
      <w:bookmarkEnd w:id="1"/>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10-K</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r>
        <w:rPr>
          <w:rFonts w:ascii="Times New Roman" w:hAnsi="Times New Roman"/>
          <w:b/>
          <w:sz w:val="20"/>
        </w:rPr>
        <w:t>(Mark One)</w:t>
      </w:r>
    </w:p>
    <w:tbl>
      <w:tblPr>
        <w:tblW w:w="9685" w:type="dxa"/>
        <w:jc w:val="left"/>
        <w:tblInd w:w="0" w:type="dxa"/>
        <w:tblLayout w:type="fixed"/>
        <w:tblCellMar>
          <w:top w:w="0" w:type="dxa"/>
          <w:left w:w="0" w:type="dxa"/>
          <w:bottom w:w="0" w:type="dxa"/>
          <w:right w:w="0" w:type="dxa"/>
        </w:tblCellMar>
      </w:tblPr>
      <w:tblGrid>
        <w:gridCol w:w="230"/>
        <w:gridCol w:w="945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5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ANNUAL REPORT PURSUANT TO SECTION 13 OR 15(d) OF THE SECURITIES EXCHANGE ACT OF 1934</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Fiscal Year Ended December 31,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b/>
          <w:caps w:val="false"/>
          <w:smallCaps w:val="false"/>
          <w:sz w:val="20"/>
          <w:u w:val="single"/>
        </w:rPr>
        <w:t>_____</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to </w:t>
      </w:r>
      <w:r>
        <w:rPr>
          <w:rFonts w:ascii="Times New Roman" w:hAnsi="Times New Roman"/>
          <w:b/>
          <w:caps w:val="false"/>
          <w:smallCaps w:val="false"/>
          <w:sz w:val="20"/>
          <w:u w:val="single"/>
        </w:rPr>
        <w:t>_____</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000-29959</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Filana Therapeutics,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570"/>
        <w:gridCol w:w="1895"/>
      </w:tblGrid>
      <w:tr>
        <w:trPr/>
        <w:tc>
          <w:tcPr>
            <w:tcW w:w="25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Delaware </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91-1911336 </w:t>
            </w:r>
          </w:p>
        </w:tc>
      </w:tr>
      <w:tr>
        <w:trPr/>
        <w:tc>
          <w:tcPr>
            <w:tcW w:w="257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(State or other jurisdiction of</w:t>
            </w:r>
          </w:p>
        </w:tc>
        <w:tc>
          <w:tcPr>
            <w:tcW w:w="189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(I.R.S. Employer</w:t>
            </w:r>
          </w:p>
        </w:tc>
      </w:tr>
      <w:tr>
        <w:trPr/>
        <w:tc>
          <w:tcPr>
            <w:tcW w:w="2570"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incorporation or organization)</w:t>
            </w:r>
          </w:p>
        </w:tc>
        <w:tc>
          <w:tcPr>
            <w:tcW w:w="1895" w:type="dxa"/>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Identification Number)</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6801 N. Capital of Texas Highway, Building 1; Suite 300, Austin, TX 78731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(512) 501-2444</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(Address, including zip code, of registrant's principal executive offices and</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telephone number, including area code)</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pPr>
      <w:r>
        <w:rPr/>
        <w:t> </w:t>
      </w:r>
    </w:p>
    <w:tbl>
      <w:tblPr>
        <w:tblW w:w="7410" w:type="dxa"/>
        <w:jc w:val="left"/>
        <w:tblInd w:w="0" w:type="dxa"/>
        <w:tblLayout w:type="fixed"/>
        <w:tblCellMar>
          <w:top w:w="0" w:type="dxa"/>
          <w:left w:w="0" w:type="dxa"/>
          <w:bottom w:w="28" w:type="dxa"/>
          <w:right w:w="0" w:type="dxa"/>
        </w:tblCellMar>
      </w:tblPr>
      <w:tblGrid>
        <w:gridCol w:w="2735"/>
        <w:gridCol w:w="60"/>
        <w:gridCol w:w="860"/>
        <w:gridCol w:w="6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FLNA</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r>
        <w:trPr/>
        <w:tc>
          <w:tcPr>
            <w:tcW w:w="27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aggregate market value of the voting and non-voting common equity held by non-affiliates was approximately $87 million computed by reference to the last sales price of $1.81 as reported on the Nasdaq Capital Market, as of the last business day of the Registrant's most recently completed second fiscal quarter, June 30, 2025. The number of shares outstanding of the Registrant's common stock, par value $0.001 per share, on March 9, 2026 was 48,307,896.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Portions of the Registrant's proxy statement for its 2026 Annual Meeting of Stockholders (the “Proxy Statement”), to be filed with the U.S. Securities and Exchange Commission, no later than 120 days after the Registrant’s fiscal year ended December 31, 2025, are incorporated by reference to Part III of this Annual Report on Form 10-K.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FILANA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0"/>
        <w:gridCol w:w="8755"/>
        <w:gridCol w:w="440"/>
      </w:tblGrid>
      <w:tr>
        <w:trPr/>
        <w:tc>
          <w:tcPr>
            <w:tcW w:w="101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1020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w:t>
            </w:r>
          </w:p>
        </w:tc>
        <w:tc>
          <w:tcPr>
            <w:tcW w:w="8755" w:type="dxa"/>
            <w:tcBorders/>
            <w:vAlign w:val="center"/>
          </w:tcPr>
          <w:p>
            <w:pPr>
              <w:pStyle w:val="TableContents"/>
              <w:bidi w:val="0"/>
              <w:spacing w:before="0" w:after="0"/>
              <w:ind w:left="0" w:right="0" w:hanging="0"/>
              <w:jc w:val="both"/>
              <w:rPr/>
            </w:pPr>
            <w:hyperlink w:anchor="item1">
              <w:r>
                <w:rPr>
                  <w:rStyle w:val="InternetLink"/>
                  <w:rFonts w:ascii="Times New Roman" w:hAnsi="Times New Roman"/>
                  <w:caps w:val="false"/>
                  <w:smallCaps w:val="false"/>
                  <w:sz w:val="20"/>
                </w:rPr>
                <w:t>Business</w:t>
              </w:r>
            </w:hyperlink>
          </w:p>
        </w:tc>
        <w:tc>
          <w:tcPr>
            <w:tcW w:w="440" w:type="dxa"/>
            <w:tcBorders/>
            <w:vAlign w:val="center"/>
          </w:tcPr>
          <w:p>
            <w:pPr>
              <w:pStyle w:val="TableContents"/>
              <w:bidi w:val="0"/>
              <w:spacing w:before="0" w:after="0"/>
              <w:ind w:left="0" w:right="0" w:hanging="0"/>
              <w:jc w:val="center"/>
              <w:rPr/>
            </w:pPr>
            <w:hyperlink w:anchor="item1">
              <w:r>
                <w:rPr>
                  <w:rStyle w:val="InternetLink"/>
                  <w:rFonts w:ascii="Times New Roman" w:hAnsi="Times New Roman"/>
                  <w:caps w:val="false"/>
                  <w:smallCaps w:val="false"/>
                  <w:sz w:val="20"/>
                </w:rPr>
                <w:t>6</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1A.</w:t>
            </w:r>
          </w:p>
        </w:tc>
        <w:tc>
          <w:tcPr>
            <w:tcW w:w="8755" w:type="dxa"/>
            <w:tcBorders/>
            <w:vAlign w:val="center"/>
          </w:tcPr>
          <w:p>
            <w:pPr>
              <w:pStyle w:val="TableContents"/>
              <w:bidi w:val="0"/>
              <w:spacing w:before="0" w:after="0"/>
              <w:ind w:left="0" w:right="0" w:hanging="0"/>
              <w:jc w:val="both"/>
              <w:rPr/>
            </w:pPr>
            <w:hyperlink w:anchor="item1a">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283"/>
              <w:jc w:val="center"/>
              <w:rPr/>
            </w:pPr>
            <w:hyperlink w:anchor="item1a">
              <w:r>
                <w:rPr>
                  <w:rStyle w:val="InternetLink"/>
                </w:rPr>
                <w:t>20</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1B.</w:t>
            </w:r>
          </w:p>
        </w:tc>
        <w:tc>
          <w:tcPr>
            <w:tcW w:w="8755" w:type="dxa"/>
            <w:tcBorders/>
            <w:vAlign w:val="center"/>
          </w:tcPr>
          <w:p>
            <w:pPr>
              <w:pStyle w:val="TableContents"/>
              <w:bidi w:val="0"/>
              <w:spacing w:before="0" w:after="0"/>
              <w:ind w:left="0" w:right="0" w:hanging="0"/>
              <w:jc w:val="both"/>
              <w:rPr/>
            </w:pPr>
            <w:hyperlink w:anchor="item1b">
              <w:r>
                <w:rPr>
                  <w:rStyle w:val="InternetLink"/>
                  <w:rFonts w:ascii="Times New Roman" w:hAnsi="Times New Roman"/>
                  <w:caps w:val="false"/>
                  <w:smallCaps w:val="false"/>
                  <w:sz w:val="20"/>
                </w:rPr>
                <w:t>Unresolved Staff Comments</w:t>
              </w:r>
            </w:hyperlink>
          </w:p>
        </w:tc>
        <w:tc>
          <w:tcPr>
            <w:tcW w:w="440" w:type="dxa"/>
            <w:tcBorders/>
            <w:vAlign w:val="center"/>
          </w:tcPr>
          <w:p>
            <w:pPr>
              <w:pStyle w:val="TableContents"/>
              <w:bidi w:val="0"/>
              <w:spacing w:before="0" w:after="283"/>
              <w:jc w:val="center"/>
              <w:rPr/>
            </w:pPr>
            <w:hyperlink w:anchor="item1b">
              <w:r>
                <w:rPr>
                  <w:rStyle w:val="InternetLink"/>
                </w:rPr>
                <w:t>63</w:t>
              </w:r>
            </w:hyperlink>
          </w:p>
        </w:tc>
      </w:tr>
      <w:tr>
        <w:trPr/>
        <w:tc>
          <w:tcPr>
            <w:tcW w:w="1010" w:type="dxa"/>
            <w:tcBorders/>
            <w:vAlign w:val="center"/>
          </w:tcPr>
          <w:p>
            <w:pPr>
              <w:pStyle w:val="TableContents"/>
              <w:bidi w:val="0"/>
              <w:spacing w:before="0" w:after="283"/>
              <w:jc w:val="left"/>
              <w:rPr/>
            </w:pPr>
            <w:r>
              <w:rPr/>
              <w:t>Item 1C.</w:t>
            </w:r>
          </w:p>
        </w:tc>
        <w:tc>
          <w:tcPr>
            <w:tcW w:w="8755" w:type="dxa"/>
            <w:tcBorders/>
            <w:vAlign w:val="center"/>
          </w:tcPr>
          <w:p>
            <w:pPr>
              <w:pStyle w:val="TableContents"/>
              <w:bidi w:val="0"/>
              <w:spacing w:before="0" w:after="283"/>
              <w:jc w:val="left"/>
              <w:rPr/>
            </w:pPr>
            <w:hyperlink w:anchor="item1c">
              <w:r>
                <w:rPr>
                  <w:rStyle w:val="InternetLink"/>
                </w:rPr>
                <w:t>Cybersecurity</w:t>
              </w:r>
            </w:hyperlink>
          </w:p>
        </w:tc>
        <w:tc>
          <w:tcPr>
            <w:tcW w:w="440" w:type="dxa"/>
            <w:tcBorders/>
            <w:vAlign w:val="center"/>
          </w:tcPr>
          <w:p>
            <w:pPr>
              <w:pStyle w:val="TableContents"/>
              <w:bidi w:val="0"/>
              <w:spacing w:before="0" w:after="283"/>
              <w:jc w:val="center"/>
              <w:rPr/>
            </w:pPr>
            <w:hyperlink w:anchor="item1c">
              <w:r>
                <w:rPr>
                  <w:rStyle w:val="InternetLink"/>
                </w:rPr>
                <w:t>63</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2.</w:t>
            </w:r>
          </w:p>
        </w:tc>
        <w:tc>
          <w:tcPr>
            <w:tcW w:w="8755" w:type="dxa"/>
            <w:tcBorders/>
            <w:vAlign w:val="center"/>
          </w:tcPr>
          <w:p>
            <w:pPr>
              <w:pStyle w:val="TableContents"/>
              <w:bidi w:val="0"/>
              <w:spacing w:before="0" w:after="0"/>
              <w:ind w:left="0" w:right="0" w:hanging="0"/>
              <w:jc w:val="both"/>
              <w:rPr/>
            </w:pPr>
            <w:hyperlink w:anchor="item2">
              <w:r>
                <w:rPr>
                  <w:rStyle w:val="InternetLink"/>
                  <w:rFonts w:ascii="Times New Roman" w:hAnsi="Times New Roman"/>
                  <w:caps w:val="false"/>
                  <w:smallCaps w:val="false"/>
                  <w:sz w:val="20"/>
                </w:rPr>
                <w:t>Properties</w:t>
              </w:r>
            </w:hyperlink>
          </w:p>
        </w:tc>
        <w:tc>
          <w:tcPr>
            <w:tcW w:w="440" w:type="dxa"/>
            <w:tcBorders/>
            <w:vAlign w:val="center"/>
          </w:tcPr>
          <w:p>
            <w:pPr>
              <w:pStyle w:val="TableContents"/>
              <w:bidi w:val="0"/>
              <w:spacing w:before="0" w:after="283"/>
              <w:jc w:val="center"/>
              <w:rPr/>
            </w:pPr>
            <w:hyperlink w:anchor="item2">
              <w:r>
                <w:rPr>
                  <w:rStyle w:val="InternetLink"/>
                </w:rPr>
                <w:t>63</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3.</w:t>
            </w:r>
          </w:p>
        </w:tc>
        <w:tc>
          <w:tcPr>
            <w:tcW w:w="8755" w:type="dxa"/>
            <w:tcBorders/>
            <w:vAlign w:val="center"/>
          </w:tcPr>
          <w:p>
            <w:pPr>
              <w:pStyle w:val="TableContents"/>
              <w:bidi w:val="0"/>
              <w:spacing w:before="0" w:after="0"/>
              <w:ind w:left="0" w:right="0" w:hanging="0"/>
              <w:jc w:val="both"/>
              <w:rPr/>
            </w:pPr>
            <w:hyperlink w:anchor="item3">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283"/>
              <w:jc w:val="center"/>
              <w:rPr/>
            </w:pPr>
            <w:hyperlink w:anchor="item3">
              <w:r>
                <w:rPr>
                  <w:rStyle w:val="InternetLink"/>
                </w:rPr>
                <w:t>64</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4.</w:t>
            </w:r>
          </w:p>
        </w:tc>
        <w:tc>
          <w:tcPr>
            <w:tcW w:w="8755" w:type="dxa"/>
            <w:tcBorders/>
            <w:vAlign w:val="center"/>
          </w:tcPr>
          <w:p>
            <w:pPr>
              <w:pStyle w:val="TableContents"/>
              <w:bidi w:val="0"/>
              <w:spacing w:before="0" w:after="0"/>
              <w:ind w:left="0" w:right="0" w:hanging="0"/>
              <w:jc w:val="both"/>
              <w:rPr/>
            </w:pPr>
            <w:hyperlink w:anchor="item4">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283"/>
              <w:jc w:val="center"/>
              <w:rPr/>
            </w:pPr>
            <w:hyperlink w:anchor="item4">
              <w:r>
                <w:rPr>
                  <w:rStyle w:val="InternetLink"/>
                </w:rPr>
                <w:t>64</w:t>
              </w:r>
            </w:hyperlink>
          </w:p>
        </w:tc>
      </w:tr>
      <w:tr>
        <w:trPr/>
        <w:tc>
          <w:tcPr>
            <w:tcW w:w="101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5.</w:t>
            </w:r>
          </w:p>
        </w:tc>
        <w:tc>
          <w:tcPr>
            <w:tcW w:w="8755" w:type="dxa"/>
            <w:tcBorders/>
            <w:vAlign w:val="center"/>
          </w:tcPr>
          <w:p>
            <w:pPr>
              <w:pStyle w:val="TableContents"/>
              <w:bidi w:val="0"/>
              <w:spacing w:before="0" w:after="0"/>
              <w:ind w:left="20" w:right="0" w:hanging="0"/>
              <w:jc w:val="both"/>
              <w:rPr/>
            </w:pPr>
            <w:hyperlink w:anchor="item5">
              <w:r>
                <w:rPr>
                  <w:rStyle w:val="InternetLink"/>
                  <w:rFonts w:ascii="Times New Roman" w:hAnsi="Times New Roman"/>
                  <w:caps w:val="false"/>
                  <w:smallCaps w:val="false"/>
                  <w:sz w:val="20"/>
                </w:rPr>
                <w:t>Market for Registrant</w:t>
              </w:r>
            </w:hyperlink>
            <w:hyperlink w:anchor="item5">
              <w:r>
                <w:rPr>
                  <w:rStyle w:val="InternetLink"/>
                  <w:rFonts w:ascii="Times New Roman" w:hAnsi="Times New Roman"/>
                  <w:caps w:val="false"/>
                  <w:smallCaps w:val="false"/>
                  <w:sz w:val="20"/>
                  <w:u w:val="single"/>
                </w:rPr>
                <w:t>’s Common Equity, Related Stockholder Matters and Issuer Purchases of Equity Securities</w:t>
              </w:r>
            </w:hyperlink>
          </w:p>
        </w:tc>
        <w:tc>
          <w:tcPr>
            <w:tcW w:w="440" w:type="dxa"/>
            <w:tcBorders/>
            <w:vAlign w:val="center"/>
          </w:tcPr>
          <w:p>
            <w:pPr>
              <w:pStyle w:val="TableContents"/>
              <w:bidi w:val="0"/>
              <w:spacing w:before="0" w:after="283"/>
              <w:jc w:val="center"/>
              <w:rPr/>
            </w:pPr>
            <w:hyperlink w:anchor="item5">
              <w:r>
                <w:rPr>
                  <w:rStyle w:val="InternetLink"/>
                </w:rPr>
                <w:t>64</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6.</w:t>
            </w:r>
          </w:p>
        </w:tc>
        <w:tc>
          <w:tcPr>
            <w:tcW w:w="8755" w:type="dxa"/>
            <w:tcBorders/>
            <w:vAlign w:val="center"/>
          </w:tcPr>
          <w:p>
            <w:pPr>
              <w:pStyle w:val="TableContents"/>
              <w:bidi w:val="0"/>
              <w:spacing w:before="0" w:after="0"/>
              <w:ind w:left="0" w:right="0" w:hanging="0"/>
              <w:jc w:val="both"/>
              <w:rPr/>
            </w:pPr>
            <w:hyperlink w:anchor="item6">
              <w:r>
                <w:rPr>
                  <w:rStyle w:val="InternetLink"/>
                  <w:rFonts w:ascii="Times New Roman" w:hAnsi="Times New Roman"/>
                  <w:caps w:val="false"/>
                  <w:smallCaps w:val="false"/>
                  <w:sz w:val="20"/>
                </w:rPr>
                <w:t>[Reserved]</w:t>
              </w:r>
            </w:hyperlink>
          </w:p>
        </w:tc>
        <w:tc>
          <w:tcPr>
            <w:tcW w:w="440" w:type="dxa"/>
            <w:tcBorders/>
            <w:vAlign w:val="center"/>
          </w:tcPr>
          <w:p>
            <w:pPr>
              <w:pStyle w:val="TableContents"/>
              <w:bidi w:val="0"/>
              <w:spacing w:before="0" w:after="283"/>
              <w:jc w:val="center"/>
              <w:rPr/>
            </w:pPr>
            <w:hyperlink w:anchor="item6">
              <w:r>
                <w:rPr>
                  <w:rStyle w:val="InternetLink"/>
                </w:rPr>
                <w:t>64</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7.</w:t>
            </w:r>
          </w:p>
        </w:tc>
        <w:tc>
          <w:tcPr>
            <w:tcW w:w="8755" w:type="dxa"/>
            <w:tcBorders/>
            <w:vAlign w:val="center"/>
          </w:tcPr>
          <w:p>
            <w:pPr>
              <w:pStyle w:val="TableContents"/>
              <w:bidi w:val="0"/>
              <w:spacing w:before="0" w:after="0"/>
              <w:ind w:left="0" w:right="0" w:hanging="0"/>
              <w:jc w:val="both"/>
              <w:rPr/>
            </w:pPr>
            <w:hyperlink w:anchor="item7">
              <w:r>
                <w:rPr>
                  <w:rStyle w:val="InternetLink"/>
                  <w:rFonts w:ascii="Times New Roman" w:hAnsi="Times New Roman"/>
                  <w:caps w:val="false"/>
                  <w:smallCaps w:val="false"/>
                  <w:sz w:val="20"/>
                </w:rPr>
                <w:t>Management</w:t>
              </w:r>
            </w:hyperlink>
            <w:hyperlink w:anchor="item7">
              <w:r>
                <w:rPr>
                  <w:rStyle w:val="InternetLink"/>
                  <w:rFonts w:ascii="Times New Roman" w:hAnsi="Times New Roman"/>
                  <w:caps w:val="false"/>
                  <w:smallCaps w:val="false"/>
                  <w:sz w:val="20"/>
                  <w:u w:val="single"/>
                </w:rPr>
                <w:t>’s Discussion and Analysis of Financial Condition and Results of Operations</w:t>
              </w:r>
            </w:hyperlink>
          </w:p>
        </w:tc>
        <w:tc>
          <w:tcPr>
            <w:tcW w:w="440" w:type="dxa"/>
            <w:tcBorders/>
            <w:vAlign w:val="center"/>
          </w:tcPr>
          <w:p>
            <w:pPr>
              <w:pStyle w:val="TableContents"/>
              <w:bidi w:val="0"/>
              <w:spacing w:before="0" w:after="283"/>
              <w:jc w:val="center"/>
              <w:rPr/>
            </w:pPr>
            <w:hyperlink w:anchor="item7">
              <w:r>
                <w:rPr>
                  <w:rStyle w:val="InternetLink"/>
                </w:rPr>
                <w:t>65</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7A.</w:t>
            </w:r>
          </w:p>
        </w:tc>
        <w:tc>
          <w:tcPr>
            <w:tcW w:w="8755" w:type="dxa"/>
            <w:tcBorders/>
            <w:vAlign w:val="center"/>
          </w:tcPr>
          <w:p>
            <w:pPr>
              <w:pStyle w:val="TableContents"/>
              <w:bidi w:val="0"/>
              <w:spacing w:before="0" w:after="0"/>
              <w:ind w:left="0" w:right="0" w:hanging="0"/>
              <w:jc w:val="both"/>
              <w:rPr/>
            </w:pPr>
            <w:hyperlink w:anchor="item7a">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283"/>
              <w:jc w:val="center"/>
              <w:rPr/>
            </w:pPr>
            <w:hyperlink w:anchor="item7a">
              <w:r>
                <w:rPr>
                  <w:rStyle w:val="InternetLink"/>
                </w:rPr>
                <w:t>74</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8.</w:t>
            </w:r>
          </w:p>
        </w:tc>
        <w:tc>
          <w:tcPr>
            <w:tcW w:w="8755" w:type="dxa"/>
            <w:tcBorders/>
            <w:vAlign w:val="center"/>
          </w:tcPr>
          <w:p>
            <w:pPr>
              <w:pStyle w:val="TableContents"/>
              <w:bidi w:val="0"/>
              <w:spacing w:before="0" w:after="0"/>
              <w:ind w:left="0" w:right="0" w:hanging="0"/>
              <w:jc w:val="both"/>
              <w:rPr/>
            </w:pPr>
            <w:hyperlink w:anchor="item8">
              <w:r>
                <w:rPr>
                  <w:rStyle w:val="InternetLink"/>
                  <w:rFonts w:ascii="Times New Roman" w:hAnsi="Times New Roman"/>
                  <w:caps w:val="false"/>
                  <w:smallCaps w:val="false"/>
                  <w:sz w:val="20"/>
                </w:rPr>
                <w:t>Consolidated Financial Statements and Supplementary Data</w:t>
              </w:r>
            </w:hyperlink>
          </w:p>
        </w:tc>
        <w:tc>
          <w:tcPr>
            <w:tcW w:w="440" w:type="dxa"/>
            <w:tcBorders/>
            <w:vAlign w:val="center"/>
          </w:tcPr>
          <w:p>
            <w:pPr>
              <w:pStyle w:val="TableContents"/>
              <w:bidi w:val="0"/>
              <w:spacing w:before="0" w:after="283"/>
              <w:jc w:val="center"/>
              <w:rPr/>
            </w:pPr>
            <w:hyperlink w:anchor="item8">
              <w:r>
                <w:rPr>
                  <w:rStyle w:val="InternetLink"/>
                </w:rPr>
                <w:t>74</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9.</w:t>
            </w:r>
          </w:p>
        </w:tc>
        <w:tc>
          <w:tcPr>
            <w:tcW w:w="8755" w:type="dxa"/>
            <w:tcBorders/>
            <w:vAlign w:val="center"/>
          </w:tcPr>
          <w:p>
            <w:pPr>
              <w:pStyle w:val="TableContents"/>
              <w:bidi w:val="0"/>
              <w:spacing w:before="0" w:after="0"/>
              <w:ind w:left="0" w:right="0" w:hanging="0"/>
              <w:jc w:val="both"/>
              <w:rPr/>
            </w:pPr>
            <w:hyperlink w:anchor="item9">
              <w:r>
                <w:rPr>
                  <w:rStyle w:val="InternetLink"/>
                  <w:rFonts w:ascii="Times New Roman" w:hAnsi="Times New Roman"/>
                  <w:caps w:val="false"/>
                  <w:smallCaps w:val="false"/>
                  <w:sz w:val="20"/>
                </w:rPr>
                <w:t>Changes in and Disagreements with Accountants on Accounting and Financial Disclosure</w:t>
              </w:r>
            </w:hyperlink>
          </w:p>
        </w:tc>
        <w:tc>
          <w:tcPr>
            <w:tcW w:w="440" w:type="dxa"/>
            <w:tcBorders/>
            <w:vAlign w:val="center"/>
          </w:tcPr>
          <w:p>
            <w:pPr>
              <w:pStyle w:val="TableContents"/>
              <w:bidi w:val="0"/>
              <w:spacing w:before="0" w:after="283"/>
              <w:jc w:val="center"/>
              <w:rPr/>
            </w:pPr>
            <w:hyperlink w:anchor="item9">
              <w:r>
                <w:rPr>
                  <w:rStyle w:val="InternetLink"/>
                </w:rPr>
                <w:t>101</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9A.</w:t>
            </w:r>
          </w:p>
        </w:tc>
        <w:tc>
          <w:tcPr>
            <w:tcW w:w="8755" w:type="dxa"/>
            <w:tcBorders/>
            <w:vAlign w:val="center"/>
          </w:tcPr>
          <w:p>
            <w:pPr>
              <w:pStyle w:val="TableContents"/>
              <w:bidi w:val="0"/>
              <w:spacing w:before="0" w:after="0"/>
              <w:ind w:left="0" w:right="0" w:hanging="0"/>
              <w:jc w:val="both"/>
              <w:rPr/>
            </w:pPr>
            <w:hyperlink w:anchor="item9a">
              <w:r>
                <w:rPr>
                  <w:rStyle w:val="InternetLink"/>
                  <w:rFonts w:ascii="Times New Roman" w:hAnsi="Times New Roman"/>
                  <w:caps w:val="false"/>
                  <w:smallCaps w:val="false"/>
                  <w:sz w:val="20"/>
                </w:rPr>
                <w:t>Controls and Procedures</w:t>
              </w:r>
            </w:hyperlink>
            <w:r>
              <w:rPr>
                <w:rFonts w:ascii="Times New Roman" w:hAnsi="Times New Roman"/>
                <w:caps w:val="false"/>
                <w:smallCaps w:val="false"/>
                <w:sz w:val="20"/>
              </w:rPr>
              <w:t> </w:t>
            </w:r>
          </w:p>
        </w:tc>
        <w:tc>
          <w:tcPr>
            <w:tcW w:w="440" w:type="dxa"/>
            <w:tcBorders/>
            <w:vAlign w:val="center"/>
          </w:tcPr>
          <w:p>
            <w:pPr>
              <w:pStyle w:val="TableContents"/>
              <w:bidi w:val="0"/>
              <w:spacing w:before="0" w:after="283"/>
              <w:jc w:val="center"/>
              <w:rPr/>
            </w:pPr>
            <w:hyperlink w:anchor="item9a">
              <w:r>
                <w:rPr>
                  <w:rStyle w:val="InternetLink"/>
                </w:rPr>
                <w:t>101</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9B.</w:t>
            </w:r>
          </w:p>
        </w:tc>
        <w:tc>
          <w:tcPr>
            <w:tcW w:w="8755" w:type="dxa"/>
            <w:tcBorders/>
            <w:vAlign w:val="center"/>
          </w:tcPr>
          <w:p>
            <w:pPr>
              <w:pStyle w:val="TableContents"/>
              <w:bidi w:val="0"/>
              <w:spacing w:before="0" w:after="0"/>
              <w:ind w:left="0" w:right="0" w:hanging="0"/>
              <w:jc w:val="both"/>
              <w:rPr/>
            </w:pPr>
            <w:hyperlink w:anchor="item9b">
              <w:r>
                <w:rPr>
                  <w:rStyle w:val="InternetLink"/>
                  <w:rFonts w:ascii="Times New Roman" w:hAnsi="Times New Roman"/>
                  <w:caps w:val="false"/>
                  <w:smallCaps w:val="false"/>
                  <w:sz w:val="20"/>
                </w:rPr>
                <w:t>Other Information</w:t>
              </w:r>
            </w:hyperlink>
            <w:r>
              <w:rPr>
                <w:rFonts w:ascii="Times New Roman" w:hAnsi="Times New Roman"/>
                <w:caps w:val="false"/>
                <w:smallCaps w:val="false"/>
                <w:sz w:val="20"/>
              </w:rPr>
              <w:t> </w:t>
            </w:r>
          </w:p>
        </w:tc>
        <w:tc>
          <w:tcPr>
            <w:tcW w:w="440" w:type="dxa"/>
            <w:tcBorders/>
            <w:vAlign w:val="center"/>
          </w:tcPr>
          <w:p>
            <w:pPr>
              <w:pStyle w:val="TableContents"/>
              <w:bidi w:val="0"/>
              <w:spacing w:before="0" w:after="283"/>
              <w:jc w:val="center"/>
              <w:rPr/>
            </w:pPr>
            <w:hyperlink w:anchor="item9b">
              <w:r>
                <w:rPr>
                  <w:rStyle w:val="InternetLink"/>
                </w:rPr>
                <w:t>102</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9C.</w:t>
            </w:r>
          </w:p>
        </w:tc>
        <w:tc>
          <w:tcPr>
            <w:tcW w:w="8755" w:type="dxa"/>
            <w:tcBorders/>
            <w:vAlign w:val="center"/>
          </w:tcPr>
          <w:p>
            <w:pPr>
              <w:pStyle w:val="TableContents"/>
              <w:bidi w:val="0"/>
              <w:spacing w:before="0" w:after="0"/>
              <w:ind w:left="0" w:right="0" w:hanging="0"/>
              <w:jc w:val="both"/>
              <w:rPr/>
            </w:pPr>
            <w:hyperlink w:anchor="item9c">
              <w:r>
                <w:rPr>
                  <w:rStyle w:val="InternetLink"/>
                  <w:rFonts w:ascii="Times New Roman" w:hAnsi="Times New Roman"/>
                  <w:caps w:val="false"/>
                  <w:smallCaps w:val="false"/>
                  <w:sz w:val="20"/>
                </w:rPr>
                <w:t>Disclosure Regarding Foreign Jurisdiction that Prevent Inspection</w:t>
              </w:r>
            </w:hyperlink>
          </w:p>
        </w:tc>
        <w:tc>
          <w:tcPr>
            <w:tcW w:w="440" w:type="dxa"/>
            <w:tcBorders/>
            <w:vAlign w:val="center"/>
          </w:tcPr>
          <w:p>
            <w:pPr>
              <w:pStyle w:val="TableContents"/>
              <w:bidi w:val="0"/>
              <w:spacing w:before="0" w:after="283"/>
              <w:jc w:val="center"/>
              <w:rPr/>
            </w:pPr>
            <w:hyperlink w:anchor="item9c">
              <w:r>
                <w:rPr>
                  <w:rStyle w:val="InternetLink"/>
                </w:rPr>
                <w:t>102</w:t>
              </w:r>
            </w:hyperlink>
          </w:p>
        </w:tc>
      </w:tr>
      <w:tr>
        <w:trPr/>
        <w:tc>
          <w:tcPr>
            <w:tcW w:w="101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III</w:t>
            </w:r>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10.</w:t>
            </w:r>
          </w:p>
        </w:tc>
        <w:tc>
          <w:tcPr>
            <w:tcW w:w="8755" w:type="dxa"/>
            <w:tcBorders/>
            <w:vAlign w:val="center"/>
          </w:tcPr>
          <w:p>
            <w:pPr>
              <w:pStyle w:val="TableContents"/>
              <w:bidi w:val="0"/>
              <w:spacing w:before="0" w:after="0"/>
              <w:ind w:left="0" w:right="0" w:hanging="0"/>
              <w:jc w:val="both"/>
              <w:rPr/>
            </w:pPr>
            <w:hyperlink w:anchor="item10">
              <w:r>
                <w:rPr>
                  <w:rStyle w:val="InternetLink"/>
                  <w:rFonts w:ascii="Times New Roman" w:hAnsi="Times New Roman"/>
                  <w:caps w:val="false"/>
                  <w:smallCaps w:val="false"/>
                  <w:sz w:val="20"/>
                </w:rPr>
                <w:t>Directors and Executive Officers and Corporate Governance</w:t>
              </w:r>
            </w:hyperlink>
          </w:p>
        </w:tc>
        <w:tc>
          <w:tcPr>
            <w:tcW w:w="440" w:type="dxa"/>
            <w:tcBorders/>
            <w:vAlign w:val="center"/>
          </w:tcPr>
          <w:p>
            <w:pPr>
              <w:pStyle w:val="TableContents"/>
              <w:bidi w:val="0"/>
              <w:spacing w:before="0" w:after="283"/>
              <w:jc w:val="center"/>
              <w:rPr/>
            </w:pPr>
            <w:hyperlink w:anchor="item10">
              <w:r>
                <w:rPr>
                  <w:rStyle w:val="InternetLink"/>
                </w:rPr>
                <w:t>102</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11.</w:t>
            </w:r>
          </w:p>
        </w:tc>
        <w:tc>
          <w:tcPr>
            <w:tcW w:w="8755" w:type="dxa"/>
            <w:tcBorders/>
            <w:vAlign w:val="center"/>
          </w:tcPr>
          <w:p>
            <w:pPr>
              <w:pStyle w:val="TableContents"/>
              <w:bidi w:val="0"/>
              <w:spacing w:before="0" w:after="0"/>
              <w:ind w:left="0" w:right="0" w:hanging="0"/>
              <w:jc w:val="both"/>
              <w:rPr/>
            </w:pPr>
            <w:hyperlink w:anchor="item11">
              <w:r>
                <w:rPr>
                  <w:rStyle w:val="InternetLink"/>
                  <w:rFonts w:ascii="Times New Roman" w:hAnsi="Times New Roman"/>
                  <w:caps w:val="false"/>
                  <w:smallCaps w:val="false"/>
                  <w:sz w:val="20"/>
                </w:rPr>
                <w:t>Executive Compensation</w:t>
              </w:r>
            </w:hyperlink>
          </w:p>
        </w:tc>
        <w:tc>
          <w:tcPr>
            <w:tcW w:w="440" w:type="dxa"/>
            <w:tcBorders/>
            <w:vAlign w:val="center"/>
          </w:tcPr>
          <w:p>
            <w:pPr>
              <w:pStyle w:val="TableContents"/>
              <w:bidi w:val="0"/>
              <w:spacing w:before="0" w:after="283"/>
              <w:jc w:val="center"/>
              <w:rPr/>
            </w:pPr>
            <w:hyperlink w:anchor="item11">
              <w:r>
                <w:rPr>
                  <w:rStyle w:val="InternetLink"/>
                </w:rPr>
                <w:t>104</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12.</w:t>
            </w:r>
          </w:p>
        </w:tc>
        <w:tc>
          <w:tcPr>
            <w:tcW w:w="8755" w:type="dxa"/>
            <w:tcBorders/>
            <w:vAlign w:val="center"/>
          </w:tcPr>
          <w:p>
            <w:pPr>
              <w:pStyle w:val="TableContents"/>
              <w:bidi w:val="0"/>
              <w:spacing w:before="0" w:after="0"/>
              <w:ind w:left="0" w:right="0" w:hanging="0"/>
              <w:jc w:val="both"/>
              <w:rPr/>
            </w:pPr>
            <w:hyperlink w:anchor="item12">
              <w:r>
                <w:rPr>
                  <w:rStyle w:val="InternetLink"/>
                  <w:rFonts w:ascii="Times New Roman" w:hAnsi="Times New Roman"/>
                  <w:caps w:val="false"/>
                  <w:smallCaps w:val="false"/>
                  <w:sz w:val="20"/>
                </w:rPr>
                <w:t>Security Ownership of Certain Beneficial Owners and Management and Related Stockholder Matters</w:t>
              </w:r>
            </w:hyperlink>
          </w:p>
        </w:tc>
        <w:tc>
          <w:tcPr>
            <w:tcW w:w="440" w:type="dxa"/>
            <w:tcBorders/>
            <w:vAlign w:val="center"/>
          </w:tcPr>
          <w:p>
            <w:pPr>
              <w:pStyle w:val="TableContents"/>
              <w:bidi w:val="0"/>
              <w:spacing w:before="0" w:after="283"/>
              <w:jc w:val="center"/>
              <w:rPr/>
            </w:pPr>
            <w:hyperlink w:anchor="item12">
              <w:r>
                <w:rPr>
                  <w:rStyle w:val="InternetLink"/>
                </w:rPr>
                <w:t>104</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13.</w:t>
            </w:r>
          </w:p>
        </w:tc>
        <w:tc>
          <w:tcPr>
            <w:tcW w:w="8755" w:type="dxa"/>
            <w:tcBorders/>
            <w:vAlign w:val="center"/>
          </w:tcPr>
          <w:p>
            <w:pPr>
              <w:pStyle w:val="TableContents"/>
              <w:bidi w:val="0"/>
              <w:spacing w:before="0" w:after="0"/>
              <w:ind w:left="0" w:right="0" w:hanging="0"/>
              <w:jc w:val="both"/>
              <w:rPr/>
            </w:pPr>
            <w:hyperlink w:anchor="item13">
              <w:r>
                <w:rPr>
                  <w:rStyle w:val="InternetLink"/>
                  <w:rFonts w:ascii="Times New Roman" w:hAnsi="Times New Roman"/>
                  <w:caps w:val="false"/>
                  <w:smallCaps w:val="false"/>
                  <w:sz w:val="20"/>
                </w:rPr>
                <w:t>Certain Relationships and Related Transactions, and Director Independence</w:t>
              </w:r>
            </w:hyperlink>
          </w:p>
        </w:tc>
        <w:tc>
          <w:tcPr>
            <w:tcW w:w="440" w:type="dxa"/>
            <w:tcBorders/>
            <w:vAlign w:val="center"/>
          </w:tcPr>
          <w:p>
            <w:pPr>
              <w:pStyle w:val="TableContents"/>
              <w:bidi w:val="0"/>
              <w:spacing w:before="0" w:after="283"/>
              <w:jc w:val="center"/>
              <w:rPr/>
            </w:pPr>
            <w:hyperlink w:anchor="item13">
              <w:r>
                <w:rPr>
                  <w:rStyle w:val="InternetLink"/>
                </w:rPr>
                <w:t>105</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14.</w:t>
            </w:r>
          </w:p>
        </w:tc>
        <w:tc>
          <w:tcPr>
            <w:tcW w:w="8755" w:type="dxa"/>
            <w:tcBorders/>
            <w:vAlign w:val="center"/>
          </w:tcPr>
          <w:p>
            <w:pPr>
              <w:pStyle w:val="TableContents"/>
              <w:bidi w:val="0"/>
              <w:spacing w:before="0" w:after="0"/>
              <w:ind w:left="0" w:right="0" w:hanging="0"/>
              <w:jc w:val="both"/>
              <w:rPr/>
            </w:pPr>
            <w:hyperlink w:anchor="itme14">
              <w:r>
                <w:rPr>
                  <w:rStyle w:val="InternetLink"/>
                  <w:rFonts w:ascii="Times New Roman" w:hAnsi="Times New Roman"/>
                  <w:caps w:val="false"/>
                  <w:smallCaps w:val="false"/>
                  <w:sz w:val="20"/>
                </w:rPr>
                <w:t>Principal Accountant Fees and Services</w:t>
              </w:r>
            </w:hyperlink>
          </w:p>
        </w:tc>
        <w:tc>
          <w:tcPr>
            <w:tcW w:w="440" w:type="dxa"/>
            <w:tcBorders/>
            <w:vAlign w:val="center"/>
          </w:tcPr>
          <w:p>
            <w:pPr>
              <w:pStyle w:val="TableContents"/>
              <w:bidi w:val="0"/>
              <w:spacing w:before="0" w:after="283"/>
              <w:jc w:val="center"/>
              <w:rPr/>
            </w:pPr>
            <w:hyperlink w:anchor="itme14">
              <w:r>
                <w:rPr>
                  <w:rStyle w:val="InternetLink"/>
                </w:rPr>
                <w:t>105</w:t>
              </w:r>
            </w:hyperlink>
          </w:p>
        </w:tc>
      </w:tr>
      <w:tr>
        <w:trPr/>
        <w:tc>
          <w:tcPr>
            <w:tcW w:w="1010" w:type="dxa"/>
            <w:tcBorders/>
            <w:vAlign w:val="center"/>
          </w:tcPr>
          <w:p>
            <w:pPr>
              <w:pStyle w:val="TableContents"/>
              <w:bidi w:val="0"/>
              <w:spacing w:before="0" w:after="283"/>
              <w:jc w:val="left"/>
              <w:rPr/>
            </w:pPr>
            <w:r>
              <w:rPr/>
              <w:t> </w:t>
            </w:r>
          </w:p>
        </w:tc>
        <w:tc>
          <w:tcPr>
            <w:tcW w:w="875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IV</w:t>
            </w:r>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15.</w:t>
            </w:r>
          </w:p>
        </w:tc>
        <w:tc>
          <w:tcPr>
            <w:tcW w:w="8755" w:type="dxa"/>
            <w:tcBorders/>
            <w:vAlign w:val="center"/>
          </w:tcPr>
          <w:p>
            <w:pPr>
              <w:pStyle w:val="TableContents"/>
              <w:bidi w:val="0"/>
              <w:spacing w:before="0" w:after="0"/>
              <w:ind w:left="0" w:right="0" w:hanging="0"/>
              <w:jc w:val="both"/>
              <w:rPr/>
            </w:pPr>
            <w:hyperlink w:anchor="item15">
              <w:r>
                <w:rPr>
                  <w:rStyle w:val="InternetLink"/>
                  <w:rFonts w:ascii="Times New Roman" w:hAnsi="Times New Roman"/>
                  <w:caps w:val="false"/>
                  <w:smallCaps w:val="false"/>
                  <w:sz w:val="20"/>
                </w:rPr>
                <w:t>Exhibits and Consolidated Financial Statement Schedules</w:t>
              </w:r>
            </w:hyperlink>
          </w:p>
        </w:tc>
        <w:tc>
          <w:tcPr>
            <w:tcW w:w="440" w:type="dxa"/>
            <w:tcBorders/>
            <w:vAlign w:val="center"/>
          </w:tcPr>
          <w:p>
            <w:pPr>
              <w:pStyle w:val="TableContents"/>
              <w:bidi w:val="0"/>
              <w:spacing w:before="0" w:after="283"/>
              <w:jc w:val="center"/>
              <w:rPr/>
            </w:pPr>
            <w:hyperlink w:anchor="item15">
              <w:r>
                <w:rPr>
                  <w:rStyle w:val="InternetLink"/>
                </w:rPr>
                <w:t>105</w:t>
              </w:r>
            </w:hyperlink>
          </w:p>
        </w:tc>
      </w:tr>
      <w:tr>
        <w:trPr/>
        <w:tc>
          <w:tcPr>
            <w:tcW w:w="1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16.</w:t>
            </w:r>
          </w:p>
        </w:tc>
        <w:tc>
          <w:tcPr>
            <w:tcW w:w="8755" w:type="dxa"/>
            <w:tcBorders/>
            <w:vAlign w:val="center"/>
          </w:tcPr>
          <w:p>
            <w:pPr>
              <w:pStyle w:val="TableContents"/>
              <w:bidi w:val="0"/>
              <w:spacing w:before="0" w:after="0"/>
              <w:ind w:left="0" w:right="0" w:hanging="0"/>
              <w:jc w:val="both"/>
              <w:rPr/>
            </w:pPr>
            <w:hyperlink w:anchor="item16">
              <w:r>
                <w:rPr>
                  <w:rStyle w:val="InternetLink"/>
                  <w:rFonts w:ascii="Times New Roman" w:hAnsi="Times New Roman"/>
                  <w:caps w:val="false"/>
                  <w:smallCaps w:val="false"/>
                  <w:sz w:val="20"/>
                </w:rPr>
                <w:t>Form 10-K Summary</w:t>
              </w:r>
            </w:hyperlink>
          </w:p>
        </w:tc>
        <w:tc>
          <w:tcPr>
            <w:tcW w:w="440" w:type="dxa"/>
            <w:tcBorders/>
            <w:vAlign w:val="center"/>
          </w:tcPr>
          <w:p>
            <w:pPr>
              <w:pStyle w:val="TableContents"/>
              <w:bidi w:val="0"/>
              <w:spacing w:before="0" w:after="283"/>
              <w:jc w:val="center"/>
              <w:rPr/>
            </w:pPr>
            <w:hyperlink w:anchor="item16">
              <w:r>
                <w:rPr>
                  <w:rStyle w:val="InternetLink"/>
                </w:rPr>
                <w:t>107</w:t>
              </w:r>
            </w:hyperlink>
          </w:p>
        </w:tc>
      </w:tr>
      <w:tr>
        <w:trPr/>
        <w:tc>
          <w:tcPr>
            <w:tcW w:w="1010" w:type="dxa"/>
            <w:tcBorders/>
            <w:vAlign w:val="center"/>
          </w:tcPr>
          <w:p>
            <w:pPr>
              <w:pStyle w:val="TableContents"/>
              <w:bidi w:val="0"/>
              <w:spacing w:before="0" w:after="283"/>
              <w:jc w:val="left"/>
              <w:rPr/>
            </w:pPr>
            <w:hyperlink w:anchor="sigs">
              <w:r>
                <w:rPr>
                  <w:rStyle w:val="InternetLink"/>
                </w:rPr>
                <w:t>Signatures</w:t>
              </w:r>
            </w:hyperlink>
          </w:p>
        </w:tc>
        <w:tc>
          <w:tcPr>
            <w:tcW w:w="875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hyperlink w:anchor="sigs">
              <w:r>
                <w:rPr>
                  <w:rStyle w:val="InternetLink"/>
                </w:rPr>
                <w:t>108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FORWARD-LOOKING STATEMENTS AND NOTICES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Annual Report on Form 10-K, including the portions of our definitive Proxy Statement incorporated by reference herein, contains certain statements that are considered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terms such as “anticipate,” “believe,” “could,” “estimate,” “expect,” “intend,” “may,” “plan,” “potential,” “should,” “will” and “would” or the negatives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forward-looking statements are based on our beliefs, assumptions and expectations of our future performance, taking into account all information currently available to us. Forward-looking statements involve risks and uncertainties and our actual results and the timing of events may differ significantly from the results discussed in the forward-looking statements. Examples of such forward-looking statements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sz w:val="20"/>
              </w:rPr>
              <w:t>the timing and conduct of our planned and future potential clinical trials and studies for Simufilam in Tuberous Sclerosis Complex (TSC) and additional indications, including the timing of initiation, enrollment and completion of the trials and the period during which the results of the trials will become available;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safety profile or treatment benefits, if any, of simufilam;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sz w:val="20"/>
              </w:rPr>
              <w:t>our ability to conduct planned preclinical studies of simufilam relating to epilepsy in TSC;</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sz w:val="20"/>
              </w:rPr>
              <w:t>our ability to initiate, conduct or analyze additional clinical and non-clinical studies with our product candidates targeted at central nervous system disorders, including TSC-related epilepsy;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sz w:val="20"/>
              </w:rPr>
              <w:t>our ability to successfully carry out our obligations under our license agreement with Yale, for which we have assumed all responsibility for global development and commercialization for simufilam for the treatment of TSC-related epilepsy;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sz w:val="20"/>
              </w:rPr>
              <w:t>our plans or ability to expand therapeutic indications for simufilam outside of TSC-related epilepsy;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left"/>
              <w:rPr>
                <w:sz w:val="20"/>
              </w:rPr>
            </w:pPr>
            <w:r>
              <w:rPr>
                <w:sz w:val="20"/>
              </w:rPr>
              <w:t>our reliance on third-party contractors to conduct all of our clinical and non-clinical trials and to make drug supply, or their ability to do so on-time or on-budget;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interpretation of data from our pre-clinical or early clinical studies, such as Phase 1 and Phase 2 studies, and any studies that are not randomized controlled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impact of pre-clinical findings on our ability to develop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sz w:val="20"/>
              </w:rPr>
              <w:t>our use of exploratory ‘research use only’ non-safety related biomarkers in our clinical studies;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file for and obtain regulatory approval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strategy and ability to establish an infrastructure to commercialize any product candidates, if approved;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potential future revenues of our product candidates, if approved and commercialized;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market acceptance of our product candidates, if approved and commercialized;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pricing and reimbursement of our product candidates, if approved and commercialized;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utility of protection, or the sufficiency, of our intellectual property;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potential competitors or competitive products for therapeutic areas we may elect to pursue;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need to raise new capital from time to time to finance our operations and the impact of macroeconomic conditions on our ability to effectively raise capital;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expectations regarding trade secrets, technological innovations, licensing agreements and outsourcing of certain business functions;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expenses or incurred costs increasing by material amounts in excess of budgeted amounts due to unexpected cost overruns, imperfect forecasting, increased scope of activities or other causes;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fluctuations in our financial or operating results;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operating losses, anticipated operating and capital expenditures and legal expenses;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expectations regarding the issuance of shares of common stock, options or other equity to employees or directors pursuant to equity compensation awards, net of employment taxes;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development and maintenance of our internal information systems and infrastructure;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sz w:val="20"/>
              </w:rPr>
              <w:t>our ability to minimize the likelihood and impact of adverse cybersecurity incidents in our information systems and infrastructure;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attract and retain personnel;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existing or emerging regulations and regulatory developments in the United States and other jurisdictions in which we operate;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expectations regarding the appropriate size and scope of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sufficiency of our cash resources to continue to fund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potential future agreements with third parties in connection with the commercialization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accuracy of our estimates regarding expenses, loss contingency reserves, capital requirements, and needs for additional financing;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assumptions and estimates used for our disclosures regarding stock-based compensation;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expense, timing and outcome of pending or future litigation or other legal proceedings and claims (including U.S. government inquiries) including the potential for negotiated settlements of such matters;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litigation, claims or other uncertainties that may arise from allegations made against us or our former employees or collaborators and the potential resolution of same.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Forward-looking statements involve risks and uncertainties and our actual results and the timing of events may differ materially from those discussed in the forward-looking statements. Such risks and uncertainties include, but are not limited to, those described in “Item 1A. Risk Factors”, and investors should consider such risks before investing in our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caution you not to place undue reliance on forward-looking statements because our future results may differ materially from those expressed or implied by them. We do not undertake to update any forward-looking statement, whether written or oral, relating to the matters discussed in this Annual Report on Form 10-K,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Annual Report on Form 10-K may also contain statistical data and drug information received from our independent consultants or based on industry publications or other publicly available information. We have not independently verified the accuracy or completeness of the data contained in these sources of data and information. Accordingly, we make no representations as to the accuracy or completeness of such data and information. You are cautioned not to give undue weight to such data and information.</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research programs in neurodegeneration have historically benefited from scientific and financial support from the National Institutes of Health (NIH). The contents of this Annual Report are solely our responsibility and do not necessarily represent any official views of NIH, the Department of Health and Human Services, or any other agency of the United States government, or any of our vendors, collaborators or unrelated third-parties</w:t>
      </w:r>
      <w:r>
        <w:rPr>
          <w:rFonts w:ascii="Times New Roman" w:hAnsi="Times New Roman"/>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our pharmaceutical assets under development are investigational product candidates. These have not been approved for use in any medical indication by any regulatory authority in any jurisdiction and their safety, efficacy or other desirable attributes, if any, have not been established in any patient population. Consequently, none of our product candidates are approved or available for sale anywhere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clinical results from earlier-stage clinical trials may not be indicative of future results from later-stage or larger scale clinical trials and do not ensure regulatory approval. You are cautioned that subsequent results may differ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Rigorous evidence for drug safety and efficacy is required for regulatory approval and is derived from one or more large, randomized, placebo-controlled studies. The design and limited size of our early-stage studies may introduce clinical or statistical bias or may generate results that may not fully distinguish between drug effects, if any, placebo effects and random variation. Different methods of statistical analysis on clinical data from the same study may lead to objectively different numerical results. These and other statistical and clinical features of our early-stage clinical studies add complexity or limitations to the scope of data interpretation. In addition, ‘top-line results’ is a summary of the clinical data prior to the completion of a full and final audit or quality-control of the clinical database. We generally communicate top-line results so that our stakeholders have timely access to a summary of a study’s findings prior to us receiving the final dataset. Final data may change from initial top-line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bookmarkStart w:id="3" w:name="item1"/>
      <w:bookmarkEnd w:id="3"/>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i/>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Filana Therapeutics, Inc. (formerly Cassava Sciences, Inc.) is a clinical-stage biotechnology company based in Austin, Texas. Our mission is to develop transformative medicines to improve the lives of patients with central nervous system (CNS) disorders, such as Tuberous Sclerosis Complex (TSC)-related epilepsy and other diseases associated with dysregulation or overexpression of filamin A. Our science is based on modulating the activity of a critical protein in the brain for patients with certain CNS disorders, such as TSC. Our lead therapeutic drug candidate, simufilam, was under clinical evaluation for the proposed treatment of Alzheimer’s disease in two Phase 3 clinical studies through 2024, when all ongoing clinical trials for simufilam in Alzheimer’s disease were discontinued. The phase out of the Company’s Alzheimer's disease development program was completed in the second quarter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lead therapeutic product candidate, simufilam, is a proprietary small molecule oral treatment drug being studied for the treatment of TSC-related epilepsy. Simufilam was discovered and designed in-house and was characterized by our academic collaborators during research activities that were conducted from approximately 2008 to date.</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Simufilam is intended to modulate the activity of a protein called filamin A, which regulates diverse aspects of neuronal cell development. Our and our collaborators’ published studies have demonstrated that the combination of mTOR activation and filamin A overexpression causes cell overgrowth, abnormal connectivity, and brain malformations, leading to seizures in patients with TSC. While such seizures have historically been treated with mTOR inhibitors and other drugs, filamin A represents a novel target for the potential treatment of TSC-related epilepsy, independent of mTOR. Simufilam is a potential first-in-class filamin A-modulating agent with the potential to treat TSC-related epilepsy. We continue to explore other potential indications for simufilam, both CNS related and otherwise, where our pre-clinical experiments suggest that simufilam may provide a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 Own or Control Worldwide Rights to Our Drug Development Program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success depends in part on our ability to obtain, maintain, and enforce intellectual property protection for our product candidates, including simufilam, and related technologies. We seek to protect our proprietary position through a combination of patents, patent applications, trade secrets, know</w:t>
        <w:noBreakHyphen/>
        <w:t>how, and other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own or exclusively control a portfolio of issued patents and pending patent applications directed to simufilam and related diagnostic assets. These intellectual property rights include patents covering composition of matter for simufilam in the United States, Europe, Australia, Israel, and Canada, as well as patents covering certain methods of use of simufilam in the United States, Europe, and Japan. We also own pending patent applications covering diagnostic assets related to simufilam in the United States, Europe, Japan, China, Canada, and Australia, as well as additional pending patent applications covering other diagnostic assets in the United States, Europe, Japan, China,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United States, our patent protection relating to simufilam, including its solid forms and methods of use for Alzheimer’s disease and other neurodegenerative diseases, consists of nine issued U.S. patents, with expiration dates ranging from 2029 to 2040, subject to potential patent term extensions and adjustments. We have filed corresponding foreign patent applications for each of these U.S. patent families where we believe such protection is commercially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to our owned intellectual property, on February 26, 2025, we entered into a License Agreement (the “License Agreement”) with Yale University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w:t>
        <w:noBreakHyphen/>
        <w:t>related epilepsy and other potential indications. Under this exclusive, worldwide license, we have the right to sublicense the licensed intellectual property. The license is subject to customary diligence obligations and includes milestone payments, royalties on net sales of licensed products, and other contingent payments, including payments tied to the transfer of any regulatory priority review voucher, if issued. As a result, commercial sales of simufilam or related products, if any, may be subject to royalty obligations to Yale.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Except for intellectual property licensed from third parties, including pursuant to the License Agreement with Yale, we do not owe royalties or other payments to third parties with respect to our owned patents and patent applications covering simufilam.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Tuberous Sclerosis Complex (TSC)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TSC is a genetic disorder that results from a mutation in the TSC1 or TSC2 genes. According to the Tuberous Sclerosis Alliance (TSCA), TSC is estimated to affect around 1 in 6,000 live births with approximately 50,000 people affected in the United States and more than one million worldwide. Clinical symptoms of TSC are variable and can impact organ systems with non-malignant tumors developing in brain, eyes, heart, kidney, skin and lungs. Interrelated neuropsychiatric manifestations of TSC such as intellectual disability, autism spectrum disorder, anxiety, aggression, attention deficit hyperactivity disorder, and sleep disturbance can significantly impact quality of life. Epilepsy is common in TSC, occurring in 84% of patients registered in the TSC Alliance Natural History Database with onset often occurring in their first year of life. Approximately 60 percent of TSC patients suffer from treatment-resistant seizures despite use of multiple anti-seizure medications. TSC-related epilepsy is associated with poor outcomes and increases the risk of cognitive deficits.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Preclinical Studies with Simufilam in Tuberous Sclerosis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Preclinical research conducted at Yale indicates that simufilam (then PTI-125) may be effective in reducing TSC-related seizure activity. A study conducted by Angelique Bordey, PhD, at Yale and published in the peer-reviewed journal </w:t>
      </w:r>
      <w:r>
        <w:rPr>
          <w:rFonts w:ascii="Times New Roman" w:hAnsi="Times New Roman"/>
          <w:i/>
          <w:caps w:val="false"/>
          <w:smallCaps w:val="false"/>
          <w:sz w:val="20"/>
        </w:rPr>
        <w:t>Neuron</w:t>
      </w:r>
      <w:r>
        <w:rPr>
          <w:rFonts w:ascii="Times New Roman" w:hAnsi="Times New Roman"/>
          <w:caps w:val="false"/>
          <w:smallCaps w:val="false"/>
          <w:sz w:val="20"/>
        </w:rPr>
        <w:t> in 2014 found overexpression of filamin A and neuronal abnormalities in brain tissue from TSC patients, as well as in brain tissue from mice that had been genetically altered to model TSC. The study further found that genetically normalizing filamin A expression in the mice prevented neuronal abnormalities. The paper, MEK-ERK1/2-Dependent FLNA Overexpression Promotes Abnormal Dendritic Patterning in Tuberous Sclerosis Independent of mTOR (</w:t>
      </w:r>
      <w:r>
        <w:rPr>
          <w:rFonts w:ascii="Times New Roman" w:hAnsi="Times New Roman"/>
          <w:i/>
          <w:caps w:val="false"/>
          <w:smallCaps w:val="false"/>
          <w:sz w:val="20"/>
        </w:rPr>
        <w:t>Neuron</w:t>
      </w:r>
      <w:r>
        <w:rPr>
          <w:rFonts w:ascii="Times New Roman" w:hAnsi="Times New Roman"/>
          <w:caps w:val="false"/>
          <w:smallCaps w:val="false"/>
          <w:sz w:val="20"/>
        </w:rPr>
        <w:t>. 2014 Oct 1. PMID: 25277454), was co-authored by Zhang L, Bartley CM, Gong X, Hsieh LS, Lin TV and Feliciano DM.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later study conducted by Dr. Bordey and published in the peer-reviewed journal </w:t>
      </w:r>
      <w:r>
        <w:rPr>
          <w:rFonts w:ascii="Times New Roman" w:hAnsi="Times New Roman"/>
          <w:i/>
          <w:caps w:val="false"/>
          <w:smallCaps w:val="false"/>
          <w:sz w:val="20"/>
        </w:rPr>
        <w:t>Science Translational Medicine</w:t>
      </w:r>
      <w:r>
        <w:rPr>
          <w:rFonts w:ascii="Times New Roman" w:hAnsi="Times New Roman"/>
          <w:caps w:val="false"/>
          <w:smallCaps w:val="false"/>
          <w:sz w:val="20"/>
        </w:rPr>
        <w:t> in 2020 likewise found elevated filamin A and neuronal abnormalities in brain tissue from patients with focal cortical dysplasia type II (FCDII), a genetic disorder with similar characteristics to TSC, as well as in the brains of mice that had been genetically altered to model TSC and FCDII. That study showed that normalizing filamin A expression in the mice through genetic knockdown both limited the neuronal abnormalities and reduced the frequency of epileptic seizures in the mice. This 2020 paper, Filamin A Inhibition Reduces Seizure Activity in a Mouse Model of Focal Cortical Malformations (</w:t>
      </w:r>
      <w:r>
        <w:rPr>
          <w:rFonts w:ascii="Times New Roman" w:hAnsi="Times New Roman"/>
          <w:i/>
          <w:caps w:val="false"/>
          <w:smallCaps w:val="false"/>
          <w:sz w:val="20"/>
        </w:rPr>
        <w:t>Sci Transl Med</w:t>
      </w:r>
      <w:r>
        <w:rPr>
          <w:rFonts w:ascii="Times New Roman" w:hAnsi="Times New Roman"/>
          <w:caps w:val="false"/>
          <w:smallCaps w:val="false"/>
          <w:sz w:val="20"/>
        </w:rPr>
        <w:t>. 2020 Feb 19. PMID: 32076941), was co-authored by Zhang L, Huang T, Teaw S, Nguyen LH, Hsieh LS, Gong X, and Lindsay Burns, a former employee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this 2020 study, Dr. Bordey and her colleagues also studied the effect of treatment with simufilam in the mice that had been altered to model TSC and FCDII. The research showed that treatment with simufilam limited neuronal abnormalities and reduced seizure activity in the mouse model at a level similar to genetic knockdown of filamin A expression. Treatment with simufilam did not, however, affect the level of filamin A in the brains of the mice.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Dr. Bordey joined the Company as Senior Vice President, Neuroscience, on May 1, 2025, while continuing her tenured academic position at Yale School of Medicine on a part time basis. In connection with plans to initiate a clinical program in TSC-related epilepsy, the Company appointed Dr. Joseph Hulihan as Chief Medical Officer in August 2025. Dr. Hulihan, who brings over 25 years of industry experience, devotes approximately half of his professional time to the Company and will advise on the clinical development of simufilam.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August 2025, the Company announced positive preclinical results of a study evaluating simufilam in a well-accepted mouse model of TSC-related epilepsy. The study was conducted in collaboration with the TSCA and the TSC Preclinical Consortium using an animal model of TSC-related epilepsy, the </w:t>
      </w:r>
      <w:r>
        <w:rPr>
          <w:rFonts w:ascii="Times New Roman" w:hAnsi="Times New Roman"/>
          <w:i/>
          <w:caps w:val="false"/>
          <w:smallCaps w:val="false"/>
          <w:sz w:val="20"/>
        </w:rPr>
        <w:t>Tsc1</w:t>
      </w:r>
      <w:r>
        <w:rPr>
          <w:rFonts w:ascii="Times New Roman" w:hAnsi="Times New Roman"/>
          <w:caps w:val="false"/>
          <w:smallCaps w:val="false"/>
          <w:sz w:val="20"/>
        </w:rPr>
        <w:t> conditional knockout (CKO) mouse line (</w:t>
      </w:r>
      <w:r>
        <w:rPr>
          <w:rFonts w:ascii="Times New Roman" w:hAnsi="Times New Roman"/>
          <w:i/>
          <w:caps w:val="false"/>
          <w:smallCaps w:val="false"/>
          <w:sz w:val="20"/>
        </w:rPr>
        <w:t>Tsc1</w:t>
      </w:r>
      <w:r>
        <w:rPr>
          <w:rFonts w:ascii="Times New Roman" w:hAnsi="Times New Roman"/>
          <w:caps w:val="false"/>
          <w:smallCaps w:val="false"/>
          <w:sz w:val="20"/>
        </w:rPr>
        <w:t>-CKO). These mice develop spontaneous seizures and are used by the TSC Alliance to evaluate the effectiveness and safety of novel and repurposed therapeutics in the potential treatment of TSC-related epilepsy. The study was conducted by PsychoGenics, Inc., the TSC Preclinical Consortium’s research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i/>
          <w:caps w:val="false"/>
          <w:smallCaps w:val="false"/>
          <w:sz w:val="20"/>
        </w:rPr>
        <w:t>Tsc1</w:t>
      </w:r>
      <w:r>
        <w:rPr>
          <w:rFonts w:ascii="Times New Roman" w:hAnsi="Times New Roman"/>
          <w:caps w:val="false"/>
          <w:smallCaps w:val="false"/>
          <w:sz w:val="20"/>
        </w:rPr>
        <w:t>-CKO mice were treated with several doses of simufilam. Seizure activity was monitored for approximately three weeks after onset, and simufilam was evaluated against treatment with vehicle alone. The data showed that simufilam attenuated the progression of seizure activity, with a statistically significant correlation between simufilam dose and the number of seizures by the end of the study. Not all parameters measured reached statistical significance. The Company intends to present data and analyses in an upcoming scientific conference and publication.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Based on the results of these studies, the Company filed an Investigational New Drug (IND) application with the U.S. Food and Drug Administration (FDA) in order to initiate a proof-of-concept clinical trial for simufilam in TSC-related epilepsy. On December 15, 2025, the Company received a formal letter from FDA confirming that the proposed clinical trial is on full clinical hold subject to the Company providing FDA with additional information, including additional pre-clinical data, and modifying the protocol design.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is working expeditiously to address the items identified in the letter. However, as announced on December 18, 2025, the Company no longer expects to initiate a proof-of-concept clinical trial for simufilam in TSC-related epilepsy in the first half of 2026. The updated timing for initiation of a clinical trial will depend on the Company’s ability to provide the requested information and on satisfactory completion of FDA’s review.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License Agreement with Yale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February 26, 2025, we entered into the License Agreement with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TSC-related epilepsy and other potential indications. Pursuant to the License Agreement, we have agreed to use reasonable commercial efforts to implement a plan designed for such development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exchange for the rights acquired pursuant to the License Agreement, we paid Yale (i) a nominal upfront license fee, and agreed to pay (ii) payments upon the achievement of specified clinical, regulatory and commercial milestones, totaling up to $4.5 million and (iii) upon transfer to a third party of a regulatory priority review voucher, if issued,  a low-to-mid double digit percentage of any consideration received for such transfer. We also agreed to pay Yale tiered royalties, ranging from a low- to mid- single digit percentage, on aggregate net sales of licensed products, subject to tiered minimum annual royalty payments ranging from the low- to mid- hundreds of thousands of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earlier terminated, the License Agreement will continue on a country-by-country basis until the later of (i) the date on which the last valid claim of the license patents expires or otherwise lapses, (ii) the end of any government or regulatory exclusivity period, and (iii) 10 years following the date of first sale of licensed product in such country. We may terminate the License Agreement: (i) at our option, upon specified advance notice to Yale and (ii) if Yale commits a material breach of the License Agreement that is not cured within a specified timeframe. Yale may terminate the License Agreement under specified circumstances, including if we (i) fail to make any payment due under the License Agreement and fail to cure such non-payment within a specified timeframe, (ii) commit a breach of the License Agreement that is not cured within a specified timeframe, (iii) default on a material obligation to any creditor, unless cured within a specified timeframe, (iv) fail to obtain or maintain insurance required by the License Agreement, (v) bring or assist a patent challenge against Yale (or if a sublicensee does so). In addition, the License Agreement will terminate automatically upon the occurrence of certain bankruptcy and insolvency events involving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License Agreement includes customary confidentiality, reporting and inspection, and indemnification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Safety Data From our Now-Discontinued Alzheimer</w:t>
      </w:r>
      <w:r>
        <w:rPr>
          <w:rFonts w:ascii="Times New Roman" w:hAnsi="Times New Roman"/>
          <w:caps w:val="false"/>
          <w:smallCaps w:val="false"/>
          <w:sz w:val="20"/>
        </w:rPr>
        <w:t>’</w:t>
      </w:r>
      <w:r>
        <w:rPr>
          <w:rFonts w:ascii="Times New Roman" w:hAnsi="Times New Roman"/>
          <w:b/>
          <w:caps w:val="false"/>
          <w:smallCaps w:val="false"/>
          <w:sz w:val="20"/>
        </w:rPr>
        <w:t>s Disease</w:t>
      </w:r>
      <w:r>
        <w:rPr>
          <w:rFonts w:ascii="Times New Roman" w:hAnsi="Times New Roman"/>
          <w:caps w:val="false"/>
          <w:smallCaps w:val="false"/>
          <w:sz w:val="20"/>
        </w:rPr>
        <w:t> </w:t>
      </w:r>
      <w:r>
        <w:rPr>
          <w:rFonts w:ascii="Times New Roman" w:hAnsi="Times New Roman"/>
          <w:b/>
          <w:caps w:val="false"/>
          <w:smallCaps w:val="false"/>
          <w:sz w:val="20"/>
        </w:rPr>
        <w:t>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Prior to discontinuing the Alzheimer’s disease program in early 2025, we conducted several Phase 1, Phase 2 and Phase 3 trials of simufilam in the indication. During this clinical trial program, more than 2,000 patients were treated with simufilam, with some patients receiving treatment for as long as 24 months. The safety observations for simufilam from the clinical trials in the discontinued Alzheimer's disease program remain relevant and important to research and clinical trials in pursuit of other indications, including TSC-related epilepsy.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Phase 1 Clinical Safety Study in Healthy Volunteers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FDA accepted our IND submission for simufilam in 2017.  This IND included the requisite preclinical studies concerning safety pharmacology, toxicology, genotoxicity and bioanalytical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thereafter investigated the safety, dosing and pharmacokinetic profile of simufilam in healthy human volunteers. The design of our first-in-human Phase 1 study was based on regulatory feedback, clinical and scientific rationale and observations from previously conducted preclinical and in vitro studies. In this Phase 1 study, simufilam was evaluated in 24 healthy human volunteers (18 simufilam, 6 placebo) in a single site in the U.S. for safety, tolerability and pharmacokinetics. Study subjects were administered a single oral dose of 50, 100 or 200 mg of simufilam or placebo. Drug appeared safe and well-tolerated. Importantly, simufilam showed no treatment-related adverse effects and no dose-limiting safety findings. Pharmacokinetic measurements demonstrated that simufilam, a small molecule, was rapidly absorbed. Dose-proportionality was observed over the full dose range of 50 to 200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Phase 2 24-Month Clinical Safety Study of Simufilam in Alzheimer</w:t>
      </w:r>
      <w:r>
        <w:rPr>
          <w:rFonts w:ascii="Times New Roman" w:hAnsi="Times New Roman"/>
          <w:caps w:val="false"/>
          <w:smallCaps w:val="false"/>
          <w:sz w:val="20"/>
        </w:rPr>
        <w:t>’</w:t>
      </w:r>
      <w:r>
        <w:rPr>
          <w:rFonts w:ascii="Times New Roman" w:hAnsi="Times New Roman"/>
          <w:i/>
          <w:caps w:val="false"/>
          <w:smallCaps w:val="false"/>
          <w:sz w:val="20"/>
        </w:rPr>
        <w:t xml:space="preserve">s Disease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March 2020, we initiated a Phase 2 clinical safety study of simufilam in patients with Alzheimer’s disease (NCT04388254). This study was funded in part by a research grant award from NIH. This study was designed to evaluate the long-term clinical safety and tolerability of simufilam in patients with Alzheimer’s disease over 24 months. This study enrolled over 200 patients with Alzheimer’s disease who were recruited from 16 U.S. clinical 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conducted the 24-month safety study in three continuous phases:</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60"/>
        <w:gridCol w:w="170"/>
        <w:gridCol w:w="6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12-month, open-label treatment phase, followed by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6-month randomized, placebo-controlled withdrawal phase, followed  by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 additional months of open-label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Study participants received simufilam oral tablets 100 mg twice-daily in the open-label treatment phases, and simufilam or matching placebo during the randomized withdrawal phase. In an open-label study design, both the health providers and the patients are aware of the drug treatment being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study participants who completed 12 months of open-label simufilam treatment were eligible to participate in the 6-month randomized, placebo-controlled withdrawal phase. Likewise, all study participants who completed the randomized, placebo-controlled withdrawal phase were eligible for 6 additional months of open-label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this 24-month study, oral simufilam 100 mg tablets twice daily appeared safe and well tolerated. No drug-related serious adverse events were observed. The most common treatment-emergent adverse events (TEAEs) were Covid-19 and urinary tract infection.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Phase 3 Clinical Trials of Simufilam in Alzheimer</w:t>
      </w:r>
      <w:r>
        <w:rPr>
          <w:rFonts w:ascii="Times New Roman" w:hAnsi="Times New Roman"/>
          <w:caps w:val="false"/>
          <w:smallCaps w:val="false"/>
          <w:sz w:val="20"/>
        </w:rPr>
        <w:t>’</w:t>
      </w:r>
      <w:r>
        <w:rPr>
          <w:rFonts w:ascii="Times New Roman" w:hAnsi="Times New Roman"/>
          <w:i/>
          <w:caps w:val="false"/>
          <w:smallCaps w:val="false"/>
          <w:sz w:val="20"/>
        </w:rPr>
        <w:t>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Between 2021 and 2025 we enrolled 1,900 patients—including 1,153 patients treated with simufilam during the blinded phase—in two randomized placebo-controlled Phase 3 clinical trials of oral simufilam in mild-to-moderate Alzheimer’s disease. The 800 patients enrolled in the first Phase 3 study, called RETHINK-ALZ, received either 100 mg simufilam tablets or placebo twice daily for 52 weeks (NCT04994483). The 1,125 patients enrolled in the second Phase 3 study, called REFOCUS-ALZ, received either 100 mg and 50 mg simufilam tablets or placebo twice daily for 76 weeks (NCT05026177). Patients who completed either of these Phase 3 studies or the 24-month Phase 2 safety study were eligible to enter a 12-month Open Label Extension study in which all patients received simufilam.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November 25, 2024, we announced that RETHINK-ALZ did not meet each of the pre-specified co-primary, secondary and exploratory biomarker endpoints. We thereafter discontinued the Phase 3 REFOCUS-ALZ study and Open Label Extension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March 25, 2025, we announced that REFOCUS-ALZ also did not meet each of the pre-specified co-primary, secondary and exploratory biomarker endpoints.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With the failure of both trials to meet their efficacy endpoints, we announced the decision to phase out our Alzheimer’s disease development program.  That process was completed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Throughout both of these Phase 3 trials and the subsequent open-label extension study simufilam demonstrated a favorable safety profile.  The drug’s adverse event profile was comparable to placebo, and no drug-related serious adverse events were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Peer Reviewed Article Describing the Results of our Phase 3 Trials of Simufilam in Alzheimer</w:t>
      </w:r>
      <w:r>
        <w:rPr>
          <w:rFonts w:ascii="Times New Roman" w:hAnsi="Times New Roman"/>
          <w:caps w:val="false"/>
          <w:smallCaps w:val="false"/>
          <w:sz w:val="20"/>
        </w:rPr>
        <w:t>’</w:t>
      </w:r>
      <w:r>
        <w:rPr>
          <w:rFonts w:ascii="Times New Roman" w:hAnsi="Times New Roman"/>
          <w:i/>
          <w:caps w:val="false"/>
          <w:smallCaps w:val="false"/>
          <w:sz w:val="20"/>
        </w:rPr>
        <w:t>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January 13, 2026, we announced the publication of the article </w:t>
      </w:r>
      <w:r>
        <w:rPr>
          <w:rFonts w:ascii="Times New Roman" w:hAnsi="Times New Roman"/>
          <w:i/>
          <w:caps w:val="false"/>
          <w:smallCaps w:val="false"/>
          <w:sz w:val="20"/>
        </w:rPr>
        <w:t>Phase 3 randomized clinical trials of simufilam in mild-to-moderate Alzheimer</w:t>
      </w:r>
      <w:r>
        <w:rPr>
          <w:rFonts w:ascii="Times New Roman" w:hAnsi="Times New Roman"/>
          <w:caps w:val="false"/>
          <w:smallCaps w:val="false"/>
          <w:sz w:val="20"/>
        </w:rPr>
        <w:t>’</w:t>
      </w:r>
      <w:r>
        <w:rPr>
          <w:rFonts w:ascii="Times New Roman" w:hAnsi="Times New Roman"/>
          <w:i/>
          <w:caps w:val="false"/>
          <w:smallCaps w:val="false"/>
          <w:sz w:val="20"/>
        </w:rPr>
        <w:t>s disease</w:t>
      </w:r>
      <w:r>
        <w:rPr>
          <w:rFonts w:ascii="Times New Roman" w:hAnsi="Times New Roman"/>
          <w:caps w:val="false"/>
          <w:smallCaps w:val="false"/>
          <w:sz w:val="20"/>
        </w:rPr>
        <w:t> in the Journal of Prevention of Alzheimer’s Disease (JPAD). The paper provides a detailed analysis of data from the RETHINK-ALZ and REFOCUS-ALZ clinical trials. Although, the two studies did not meet their pre-specified efficacy endpoints, exploratory post-hoc analysis of the studies contained in this article offered informative insights regarding simufilam.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is Fundamental to the Drug Development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in the business of new drug discovery and development. Our research and development activities are long, complex, costly and involve a high degree of risk. Holders of our common stock should carefully read this Annual Report in its entirety, including “Item 1A. Risk Factors”. </w:t>
      </w:r>
      <w:r>
        <w:rPr>
          <w:rFonts w:ascii="Times New Roman" w:hAnsi="Times New Roman"/>
          <w:i/>
          <w:caps w:val="false"/>
          <w:smallCaps w:val="false"/>
          <w:sz w:val="20"/>
        </w:rPr>
        <w:t>Because risk is fundamental to the process of drug discovery and</w:t>
      </w:r>
      <w:r>
        <w:rPr>
          <w:rFonts w:ascii="Times New Roman" w:hAnsi="Times New Roman"/>
          <w:caps w:val="false"/>
          <w:smallCaps w:val="false"/>
          <w:sz w:val="20"/>
        </w:rPr>
        <w:t> </w:t>
      </w:r>
      <w:r>
        <w:rPr>
          <w:rFonts w:ascii="Times New Roman" w:hAnsi="Times New Roman"/>
          <w:i/>
          <w:caps w:val="false"/>
          <w:smallCaps w:val="false"/>
          <w:sz w:val="20"/>
        </w:rPr>
        <w:t>development, you are cautioned to not invest in our publicly traded securities unless you are prepared to sustain a total loss of the money you have invested.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 science is based on modulating</w:t>
      </w:r>
      <w:r>
        <w:rPr>
          <w:rFonts w:ascii="Times New Roman" w:hAnsi="Times New Roman"/>
          <w:caps w:val="false"/>
          <w:smallCaps w:val="false"/>
          <w:sz w:val="20"/>
        </w:rPr>
        <w:t> </w:t>
      </w:r>
      <w:r>
        <w:rPr>
          <w:rFonts w:ascii="Times New Roman" w:hAnsi="Times New Roman"/>
          <w:i/>
          <w:caps w:val="false"/>
          <w:smallCaps w:val="false"/>
          <w:sz w:val="20"/>
        </w:rPr>
        <w:t>the activity of filamin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scientific approach is to treat central nervous system diseases by modulating the activity of the filamin A scaffolding protein. Based on existing research, we believe that filamin A is a promising target for drug development with respect to TSC-related epilepsy.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that we sponsored has identified a family of high-affinity, small molecules to target filamin A as a means of potentially treating central nervous system disorders such as TSC-related epilepsy. This family of small molecules, including simufilam, our lead small molecule (oral) therapeutic product candidate, was designed in-house and characterized by our academic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Filamin A is a scaffolding protein found in the brain and elsewhere in the body. Scaffolding proteins bring multiple proteins together, coordinating their interaction. Our product candidate, simufilam, is a potential first-in-class filamin A-modulating agent with the potential to treat TSC-related epilepsy. We continue to explore other potential indications for simufilam, both CNS related and otherwise, where our pre-clinical experiments suggest that simufilam may provide a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Published research shows that patients with TSC have elevated levels of filamin A and that this overexpression of filamin A, in combination with mTOR activation, causes cell overgrowth, abnormal connectivity, and brain malformations, leading to seizures. Preclinical studies in a mouse model showed that genetically normalizing filamin A levels reduced seizure activity and limited neuronal abnormalities independent of mTOR activation.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this same mouse model, treatment with simufilam reduced seizure activity and limited neuronal abnormalities in a manner similar to genetically normalizing filamin A levels. A second study in a well-accepted mouse model of TSC-related epilepsy showed that treatment with simufilam attenuated the progression of seizure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Extension of Our Science to Other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leverage our scientific insights in neurodegeneration and neuroinflammation and advanced tools in molecular biology, biochemistry, and imaging to expand our science to other diseases, including other diseases in which filamin A may be associated with the disease process. New indications and new drug development approaches may complement or supersede our current focus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addition, we are exploring and incorporating artificial intelligence (AI) capabilities and related data analytics to target improvements in productivity and efficiency in our business, enhancements to research and development activities, and advancements in statistical analysis capabilities.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Simufilam Drug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a drug supply agreement with Evonik Industries AG for simufilam. Under the agreement, Evonik supplies and is expected to continue to supply us with clinical-grade quantities of simufilam. Evonik is one of the world’s largest contract development and manufacturing organizations for pharmaceutical ingredients. Other vendors supply excipients, the finished dosage form (i.e., simufilam tablets), drug packaging, package labeling and other critical components of the supply chain for drug supply that can be used for clinical studies.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SavaDx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product candidate, called SavaDx, is an early-stage program focused on detecting the presence of Alzheimer’s disease from a small sample of blood. For business, technical and personnel reasons, we discontinued the development of SavaDx as of mid-2025. SavaDx is a research-use only, non-safety related exploratory biomarker. Development activity related to SavaDx accounted for less than 1% of our research budget in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Strategy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goal is to develop product candidates to diagnose and/or treat central nervous system disorders, such as TSC-related epilepsy. Key elements of our business strategy to achieve this mission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building a lean company that is narrowly focused on developing innovative product candidates for central nervous system disorders such as TSC-related epilepsy;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publishing scientific data in peer-reviewed journals;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applying development capabilities to advance our product candidates through clinical proof-of-concept studies and beyond;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using our expertise and experience to continue to focus on discovering new indications and product candidates, validated by experimental evidence and leading experts in the field;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continuing to outsource preclinical studies, clinical studies and formulation development activities in order to allow more efficient deployment of our resources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also conduct basic research and development in collaboration with academic and other partners. Our research and development expenses were $26.6 million, $69.6 million and $89.4 million for the year ended December 31, 2025, 2024 and 2023, respectively. See “</w:t>
      </w:r>
      <w:r>
        <w:rPr>
          <w:rFonts w:ascii="Times New Roman" w:hAnsi="Times New Roman"/>
          <w:i/>
          <w:caps w:val="false"/>
          <w:smallCaps w:val="false"/>
          <w:sz w:val="20"/>
        </w:rPr>
        <w:t>Item 7.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for additional details regarding our research and development activities.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drug discovery and development industry is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Any product candidates that we successfully develop and commercialize may compete with existing therapies and new therapies that may become available in the future.</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Many of our competitors have significantly greater financial resources, an established presence in the market, as well as expertise in research and development, manufacturing, preclinical and clinical testing, obtaining regulatory approvals and reimbursement and marketing-approved products. These competitors compete with us in recruiting and retaining qualified scientific and technical personnel, establishing clinical study sites and patient registration for clinical studies, as well as in acquiring or developing technologies complementary to, or necessary for, our programs. Smaller or early-stage companies may also prove to be significant competitors, particularly through collaborative arrangements with large and established companies, significant financial backing from large investors and/or access to intellectual property from large established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key competitive factors affecting the success of simufilam, and any other product candidates that we develop, if approved, are likely to be efficacy, safety, convenience, price, level of generic competition, patient and physician acceptance and availability of reimbursement from government and other third-party payors. Our commercial opportunity could be reduced or eliminated if our competitors develop and commercialize products that are more effective, have fewer or less severe side effects, are more convenient or are less expensive than products that we may develop.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With respect to TSC-related epilepsy, two pharmacological treatment categories are approved for this patient population. The first category is Traditional Anti-seizure Medications (ASMs), which include the standard of care (SOC) Vigabatrin, and options such as Levetiracetam, Valproate, and Clobazam. The second category is Disease-Specific ASMs, which are treatments indicated specifically for TSC-related epilepsy. Currently, there are two approved treatments for seizures associated with TSC: Afinitor Disperz (everolimus tablets for oral suspension) and Epidiolex (cannabidiol), both of which offer unique advantages and notable challenges. Everolimus, an mTOR inhibitor, is the only FDA-approved treatment that directly targets the underlying pathophysiology of TSC.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Manufacturing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Simufilam and any future product candidates must be manufactured for clinical trial use in compliance with current good manufacturing practices (cGMP) regulations. These regulations are extensive, stringent and complex, and may include requirements regarding the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Our manufacturing vendors must have facilities to make our product candidates in strict compliance with cGMP requirements and the FDA’s or comparable foreign regulatory authorities’ satisfaction. Our third-party vendors may also be subject to periodic and unannounced inspections of their respective facilities for general cGMP compliance by the FDA and other foreign authorities. These inspections may include review of procedures and operations used in the testing and manufacture of simufilam to assess compliance with applicable regulations. 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Contract manufacturers often encounter difficulties involving production yields, quality control and quality assurance, as well as shortages of qualified personnel. Any of these actions or events could have a material impact on the availability of simufilam. Our suppliers may be forced to stop producing, storing, shipping or testing our drug product candidates if they fall out of compliance with government regulations and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Although we are ultimately responsible for the manufacture of simufilam and any other future product candidates, we have limited or no control over our suppliers’ compliance, or lack thereof, with the multitude of regulations and standards that affect our product candidates. We cannot control decisions by our suppliers that affect their ability or willingness to continue to supply us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do not own or lease any manufacturing facilities. We outsource formulation, manufacturing and related activities to third parties. For the foreseeable future, we will continue to rely on third parties to conduct certain quality control and assurance testing, shipping or storage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currently rely on one non-affiliated contract development and manufacturing organization (CDMO)—Evonik Corporation—to manufacture simufilam and expect to continue to do so.  In 2021, we entered into an agreement with Evonik Corporation to supply clinical-grade quantities of drug substance for simufilam. The goal of our manufacturing strategy is to ensure the integrity of the supply chain for drug substance in compliance with FDA standards. We believe raw materials for our product candidate are readily available from reliable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Government Regulation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Government authorities in the U.S.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diagnostic products. Generally, before a new drug or diagnostic can be marketed, considerable data demonstrating its quality, safety and efficacy and/or specificity must be obtained, organized into a format specific for each regulatory authority, submitted for review and approved by the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U.S. Drug Development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U.S., FDA regulates drugs under the Food, Drug, and Cosmetic Act (the “FDCA”). Both drugs and diagnostics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Product candidates must be approved by FDA before they may be commercialized in the U.S. The drug approval process generally includes the following sequence of steps: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Completion of extensive preclinical studies in accordance with applicable regulations, including studies conducted in accordance with good laboratory practice;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Submission to FDA of an IND, which must become effective before human clinical studies may begin;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Approval by an independent institutional review board (IRB) or ethics committee before each study may be initiated;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Performance of adequate and well-controlled human clinical studies in accordance with applicable IND regulations, code of cGCP, requirements and other clinical trial-related regulations to establish the safety and efficacy of the investigational product for each proposed indication;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Submission to FDA of a new drug application (NDA);</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determination by FDA within 60 days of its receipt of an NDA to accept the filing for review;</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Satisfactory completion of an FDA pre-approval inspection of the manufacturing facility or facilities where the drug will be produced to assess compliance with cGMP, requirements to assure that the facilities, methods and controls are adequate to preserve the drug’s identity, strength, quality and purity;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Potential FDA audit of the preclinical study and/or clinical study sites that generated the data in support of the NDA;</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review and approval of the NDA, including consideration of the views of any FDA advisory committee, prior to any commercial marketing or sale of the drug in the U.S.;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Compliance with any post-approval requirements, including the potential requirement to conduct post-approval studies.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data required to support an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Preclinical Studies and IND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preclinical developmental stage generally involves laboratory evaluations of drug chemistry, formulation and stability, as well as studies to evaluate toxicity in animals, which support subsequent clinical testing. As sponsor, we must submit the results of the preclinical studies, together with manufacturing information, analytical data, any available clinical data or literature and a proposed clinical protocol, to FDA as part of the IND. An IND is a request for authorization from FDA to administer an investigational product to humans and must become effective before human clinical studies may begin.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cGCP regulations for safety/toxicology studies. An IND sponsor must submit the results of the preclinical tests, together with manufacturing information, analytical data, any available clinical data or literature and plans for clinical studies, among other things, to FDA as part of an IND. Some long-term preclinical testing, such as long-term toxicity tests, animal tests of reproductive adverse events and carcinogenicity, may continue after the IND is submitted. An IND automatically becomes effective 30 days after receipt by FDA, unless before that time FDA raises concerns or questions about any aspect of the program. In such a case, the IND sponsor and FDA must resolve any outstanding concerns before the clinical study can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Clinical Studies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clinical stage of development involves the administration of the investigational product to healthy volunteers or patients under the supervision of qualified investigators, generally physicians not employed by or under the study sponsor’s control, in accordance with cGCP requirements, which include the requirement that all research subjects provide their informed consent for participation in any clinical trial. Clinical studies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FDA as part of the IND. Furthermore, each clinical study must be reviewed and approved by an IRB for each institution at which the clinical study will be conducted to ensure that the risks to individuals participating in the clinical studies are minimized and are reasonable in relation to anticipated benefits. The IRB also approves the informed consent form that must be provided to each clinical study subject or his or her legal representative and must monitor the clinical study until completed. There also are requirements governing the reporting of ongoing clinical studies and completed clinical study results to public registries.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sponsor who wishes to conduct a clinical study outside of the U.S. may, but need not, obtain FDA authorization to conduct the clinical study under an IND. If a foreign clinical study is not conducted under an IND, the sponsor may submit data from the clinical study to FDA in support of an NDA. The FDA may accept a well-designed and well-conducted foreign clinical study not conducted under an IND if the study was conducted in accordance with cGCP requirements and FDA is able to validate the data through an onsite inspection if deemed 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Clinical studies in the U.S. generally are conducted in three sequential phases, known as Phase 1, Phase 2 and Phase 3, and may overlap.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Phase 1 clinical studies generally involve a small number of healthy volunteers or disease-affected patients who are initially exposed to a single dose and then multiple doses of the product candidate. The primary purpose of these clinical studies is to assess the absorption, metabolism, pharmacologic action, tolerability and safety of a drug candidate.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Phase 2 clinical studies involve studies in disease-affected patients to determine the proper dose required to produce the desired benefits. At the same time, safety and further pharmacokinetic and pharmacodynamic information is collected, possible adverse effects and safety risks are identified, and a preliminary evaluation of efficacy may be observed.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Phase 3 clinical studies generally involve enrolling many patients at multiple sites and are designed to provide the data necessary to demonstrate the effectiveness of the product candidate for its intended use, its safety in use and to establish the overall benefit/risk relationship of the product candidate and provide an adequate basis for product approval. These studies may include comparisons with placebo and/or other comparator treatments. The duration of treatment is often extended to mimic the actual use of a product during marketing.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Post-approval studies, sometimes referred to as Phase 4 clinical studies, may be conducted after initial marketing approval. These studies are used to gain additional experience from the treatment of patients in the intended therapeutic indication. In certain instances, FDA may mandate the performance of Phase 4 clinical studies as a condition of approval of an NDA.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Progress reports detailing the results of the clinical studies, among other information, must be submitted at least annually to FDA. Written safety reports and the investigations for serious and unexpected adverse events, or any other findings suggesting a significant risk to humans exposed to the drug must be submitted to FDA.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Phase 1, Phase 2, and Phase 3 clinical studies may not be completed successfully within any specified period, if at all. The FDA or the sponsor may suspend or terminate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 Additionally, some clinical studies are overseen by an independent group of qualified experts organized by the clinical study sponsor, known as a Data and Safety Monitoring Board (DSMB). This group provides authorization for whether a study may move forward at designated check-points based on access to certain data from the trial. Concurrent with clinical studies, companies usually complete additional animal studies and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NDA Review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Following completion of the clinical studies, data is analyzed to assess whether the investigational product is safe and effective for the proposed indicated use or uses. The results of preclinical studies and clinical studies are then submitted to FDA as part of an NDA, along with proposed labeling, chemistry and manufacturing information to ensure product quality and other relevant data. In short, the NDA is a request for approval to market a drug for one or more specified indication and must contain proof of safety and efficacy for a drug’s purity and potency. The application may include both negative and ambiguous results of preclinical studies and clinical studies, as well as positive findings. Data may come from company-sponsored clinical studies intended to test the safety and efficacy of a product’s use or from several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Under the Prescription Drug User Fee Act (PDUFA), as amended, each NDA must be accompanied by a user fee. FDA adjusts the PDUFA user fees on an annual basis. According to FDA’s fiscal year 2026 fee schedule, effective through September 30, 2026, the user fee for an application requiring clinical data, such as an NDA, is approximately $4.7 million.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FDA reviews all submitted NDAs before it accepts them for filing and may request additional information rather than accept the NDA for filing. The FDA must decide whether to accept an NDA for filing within 60 days of receipt. Once the submission is accepted for filing, FDA begins an in-depth review of the NDA. Under the goals and policies agreed to by FDA under PDUFA, FDA has 10 months, from the filing date, in which to complete its initial review of a new molecular-entity NDA and respond to the applicant, and six months from the filing date of a new molecular-entity NDA designated for priority review. The FDA does not always meet its PDUFA goal dates for standard and priority NDAs, and the review process is often extended by FDA requests for additional information or clarification.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limited circumstances, FDA may grant accelerated approval for a drug intended to treat a serious or life</w:t>
        <w:noBreakHyphen/>
        <w:t>threatening disease or condition, including rare diseases, based on a surrogate endpoint or intermediate clinical endpoint that is reasonably likely to predict clinical benefit. Approval under this pathway is generally conditioned on the sponsor’s obligation to conduct one or more post</w:t>
        <w:noBreakHyphen/>
        <w:t>marketing confirmatory clinical trials to verify and describe the anticipated clinical benefit. If such confirmatory trials fail to confirm clinical benefit, are not conducted with due diligence, or otherwise do not satisfy FDA requirements, FDA may withdraw approval or require changes to labeling or other regulatory actions. There can be no assurance that FDA will determine that any of our product candidates are eligible for accelerated approval, that any surrogate or intermediate endpoint will be acceptable to FDA, or that any required post</w:t>
        <w:noBreakHyphen/>
        <w:t>approval studies will be completed successfully or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Before approving an NDA, FDA may conduct a pre-approval inspection of the manufacturing facilities for the new product to determine whether they comply with cGMP requirements. The FDA will not approve the product unless it determines that the manufacturing processes and facilities fully comply with cGMP requirements and are adequate to assure consistent production of the product within required specifications. The FDA also may audit data from clinical studies to ensure compliance with cGCP requirements. Additionally, FDA may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study data, which could result in extensive discussions between FDA and the applicant during the review process. After FDA evaluates an NDA, it will issue either an approval letter or a Complete Response Letter (CRL). An approval letter authorizes commercial marketing of the drug with specific prescribing information for specific indications. A CRL indicates that FDA’s review of the application is complete and the application cannot be approved in its present form. A CRL usually describes the specific deficiencies in the NDA identified by FDA. The CRL may require additional clinical data, additional pivotal Phase 3 clinical trial(s) and/or other significant and time-consuming requirements related to clinical studies, preclinical studies or manufacturing. If a CRL is issued, the applicant may either resubmit the NDA, addressing all the deficiencies identified in the CRL, or withdraw the application. Even if such data and information are submitted, FDA may decide that the NDA does not satisfy the criteria for approval. Data obtained from clinical studies are not always conclusive and FDA may interpret data differently than we interpret the same data.</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Commercialization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product candidates have not received marketing approval from the FDA, and we do not expect to have any approved product candidates in the near term. We currently have no company experience in marketing drugs and we do not have the personnel, capabilities or infrastructure necessary for sales, marketing, third-party payor programs or commercial product distribution. When and if any of our product candidates are approved for commercialization, we will need to develop a commercialization infrastructure for any such product in the U.S. and potentially in certain other key markets. As a matter of strategy, we may also rely on partnerships or collaborations with larger biopharmaceutical companies to provide commercialization infrastructure, such as sales and marketing and commercial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Advertising and Promotion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FDA and other federal regulatory agencies closely regulate the marketing and promotion of drugs through, among other things, standards and regulations for direct-to-consumer advertising, communications regarding unapproved uses, industry-sponsored scientific and educational activities, and promotional activities involving the Internet. None of our product candidates can be commercially promoted before receiving FDA approval. After approval, product promotion can include only those claims relating to safety and effectiveness that are consistent with the labeling approved by FDA. Healthcare providers are permitted to prescribe drugs for “off-label” uses - that is, uses not approved by FDA and therefore not described in the drug’s labeling - because FDA does not regulate the practice of medicine. However, FDA regulations impose stringent restrictions on manufacturers’ communications regarding off-label uses. Failure to comply with applicable FDA requirements and restrictions in this area may subject us to adverse publicity and enforcement action by FDA, the U.S. Department of Justice, or the Office of the Inspector General of Health and Human Services, as well as state authorities. This could subject us to a range of penalties that could have a significant commercial impact, including civil and criminal fines and agreements that materially restrict the manner in which we promote or distribute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Post-Approval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After a product candidate receives regulatory approval, it is often subject to pervasive and continuing regulation by FDA, including, among other things, requirements relating to drug listing and registration, recordkeeping, periodic reporting, product sampling and distribution, adverse event reporting and advertising, marketing and promotion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Adverse event reporting and submission of periodic reports is required following FDA approval of an NDA. The FDA also may require post-market testing, known as Phase 4 testing, or FDA may place conditions on an approval that could restrict the distribution or use of the product. In addition, quality control, drug manufacture, packaging, and labeling procedures must continue to conform to cGMP after approval. Drug manufacturers and certain of their subcontractors are required to register their establishments with FDA and certain state agencies. Registration may result in periodic announced or unannounced inspections by FDA or these state agencies, during which the agency inspects manufacturing facilities to assess compliance with cGMP. Accordingly, manufacturers must continue to expend time, money, and effort in the areas of production and quality 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 In addition, other regulatory actions may be taken, including, among other things, warning letters, the seizure of products, injunctions, consent decrees placing significant restrictions on or suspending manufacturing operations, refusal to approve pending applications or supplements to approved applications, civil penalties, and criminal prosecution.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FDA may require post-approval clinical studies to help assure continued safety or effectiveness of the approved drug. The FDA may also require a labeling change if it becomes aware of new safety information that it believes should be included in the labeling of a drug.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to the FDA, manufacturing, sales, promotion and other activities following product approval are also subject to regulation by the Centers for Medicare and Medicaid Services, other divisions of the Department of Health and Human Services, the Department of Justice, the Consumer Product Safety Commission, the Federal Trade Commission, the Occupational Safety &amp; Health Administration, the Environmental Protection Agency, the Affordable Care Act (the “ACA”), other federal agencies and state and local governments.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example, in the United States, sales, marketing and scientific and educational programs must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distribution of pharmaceutical products is subject to additional requirements and regulations, including extensive record-keeping, licensing, storage and security requirements intended to prevent the unauthorized sale of pharmaceutical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Changes in regulations, statutes or the interpretation of existing regulations could impact our business in the future by requiring, for example: changes to our manufacturing arrangements; additions or modifications to product labeling, if and when approved; the recall or discontinuation of our products; or additional record-keeping requirements. If any such changes were to be imposed, they could adversely affect the operation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Hatch-Waxman Amendments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seeking approval for our product candidates through an NDA, we will be required to list with FDA each patent whose claims cover the drug product. Upon receiving regulatory approval, each of the patents listed in the application for this drug is then published in FDA’s Approved Drug Products with Therapeutic Equivalence Evaluations, commonly known as the “Orange Book.” Drugs listed in the Orange Book can, in turn, be cited by potential generic competitors in support of approval of an abbreviated NDA, or ANDA. An ANDA provides for marketing of a drug product that has the same active ingredient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efficacy of their drug product. Drugs approved in this way are commonly referred to as “generic equivalents” to the listed drug, and may be substituted by pharmacists under prescriptions written for the original listed drug.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ANDA applicant is required to make certain certifications to FDA concerning any patents listed for the approved product in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method-of-use rather than make certifications concerning a listed method-of-use patent. If the applicant does not challenge the listed patents, the ANDA application will not be approved until all the listed patents claiming the referenced product have expired.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certification that the new product will not infringe the already approved product’s listed patents, or that such patents are invalid, is called a Paragraph IV certification. If the ANDA applicant has provided a Paragraph IV certification to FDA, the applicant must also send notice of the Paragraph IV certification to the NDA and patent holders once the ANDA has been accepted for filing by FDA. The NDA and patent holders may then initiate a patent infringement lawsuit in response to the notice of the Paragraph IV certification. The filing of a patent infringement lawsuit within 45 days of the receipt of a Paragraph IV certification automatically prevents FDA from approving the ANDA until the earlier of 30 months, expiration of the patent, settlement of the lawsuit, or a decision in the infringement case that is favorable to the ANDA applicant. The ANDA application also will not be approved until any applicable non-patent exclusivity listed in the Orange Book for the referenced product has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Disclosure of Clinical Study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Sponsors of clinical studies of FDA-regulated products, including drugs, are required to register and disclose certain clinical study information. Information related to the product, patient population, phase of investigation, clinical study sites and investigators, and other aspects of the clinical study is then made public as part of the registration. Sponsors are also obligated to post certain information regarding the results of their clinical studies after completion. Disclosure of the results of these studies can be delayed until the new product or new indication being studied has been approved. Competitors may use this publicly available information to gain knowledge regarding the progress of development programs.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Regulatory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be subject to federal, state and local environmental laws and regulations, including the Environmental Protection Act and the Clean Air Act. Although we believe that our safety procedures for handling and disposing of controlled materials comply with the standards prescribed by state and federal regulations, accidental contamination or injury from these materials may occur. In the event of such an occurrence, we could be held liable for any damages that result, and any such liability could exceed our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also be subject to regulations under other federal, state, and local laws, including the Occupational Safety and Health Act, national restrictions on technology transfer, and import, export, and customs regulations. It is possible that any portion of the regulatory framework under which we operate may change and that such change could have a negative impact on our current and anticipated operations. Failure to comply with these requirements could result, among other things, in suspension of regulatory approval, recalls, injunctions or civil or criminal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Third-Party Payor Coverage and Reimbursement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commercial success of our product candidates, if approved, will depend, in part, upon the availability of coverage and adequate reimbursement from third-party payors at the federal, state and private levels. Third-party payors include governmental programs such as Medicare or Medicaid, private insurance plans and managed care plans. These third-party payors may deny coverage or reimbursement for our product candidates in whole or in part if they determine that our product candidates are not medically appropriate or necessary. Also, third-party payors attempt to control costs by limiting coverage through the use of formularies and other cost-containment mechanisms and the amount of reimbursement for particular procedures or drug treatments.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Some third-party payors also require pre-approval of coverage for new or innovative devices or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approved product candidates to operate profitably.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Human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approach to human capital resource management starts with our mission to develop transformative medicines to improve the lives of patients with CNS disorders, such as TSC-related epilepsy and other diseases associated with dysregulation or overexpression of filamin A. Our industry exists in a complex regulatory environment. The unique demands of our industry, together with the challenges of running an enterprise focused on the discovery, development, manufacture and commercialization of innovative medicines, require talent that is highly educated and/or has significant industry experience. Additionally, for certain key functions, we require specific scientific expertise to oversee and conduct research and development activities and the complex manufacturing requirements for biopharmaceutical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employees are an essential asset, and we consider our ability to recruit, train, retain and motivate our employees to be critical to our success. We are an equal opportunity employer, and we are fundamentally committed to creating and maintaining a work environment in which employees are treated with respect and dignity. All human resources policies, practices and actions related to hiring, promotion, compensation, benefits and termination are administered in accordance with the principal of equal employment opportunity, meaning that they are made on the basis of individual skills, knowledge, abilities, job performance and other legitimate criteria and without regard to race, color, religion, sex, sexual orientation, gender expression or identity, ethnicity, national origin, ancestry, age, mental or physical disability, genetic information, any veteran status, any military status or application for military service, or membership in any other category protected under applicable law. By focusing on employee retention and engagement, we also improve our ability to support our clinical trials, our pipeline, business and operations, and also protect the long-term interests of our stockholders. Our success also depends on our ability to attract, engage and retain a diverse group of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base pay program aims to compensate management and staff members relative to the value of the contributions of their role, which takes into account the skills, knowledge and abilities required to perform each position, as well as the experience brought to the job. We also may pay cash bonuses to reward our management team and staff members in alignment with achievement of Company-wide goals that are designed to drive aspects of our strategic priorities that support and advance our strategy across our Company. Our management team and staff members are eligible for the grant of equity awards under our long-term incentive program that are designed to align their long-term interests with that of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benefit programs are generally broad-based, promote health and overall well-being and emphasize saving for retirement. All management team and regular staff members are eligible to participate in the same core health and welfare and retirement savings plans. Other employee benefits may include medical plans, dental plans, vacation and sick-pay plans, flexible spending accounts, life and accident insurance and short and long-term disability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Compensation Committee provides oversight of our executive compensation plans, policies and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December 31, 2025, we had 17 full-time employees and 3 employees who devote a portion of their professional time to the Company. None of our employees is represented by a labor union or covered under a collective bargaining agreement. We also engage numerous consultants to perform services on retainer, per diem or an hourly basis. We consider our relationship with our employees to be good.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January 7, 2025, we announced a reduction in our workforce by 10 employees, a reduction of 33% (the “Workforce Reduction”). We communicated the Workforce Reduction to affected employees on January 7, 2025. The Workforce Reduction was intended to align our human capital resources to meet our strategic goals, in light of the discontinuation of our clinical trials for Alzheimer’s disease. The Company's Workforce Reduction was completed, and the associated costs and cash payments were made, during the first quarter of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80" w:right="0" w:hanging="0"/>
        <w:jc w:val="both"/>
        <w:rPr>
          <w:rFonts w:ascii="Times New Roman" w:hAnsi="Times New Roman"/>
          <w:b/>
          <w:caps w:val="false"/>
          <w:smallCaps w:val="false"/>
          <w:sz w:val="20"/>
        </w:rPr>
      </w:pPr>
      <w:r>
        <w:rPr>
          <w:rFonts w:ascii="Times New Roman" w:hAnsi="Times New Roman"/>
          <w:b/>
          <w:caps w:val="false"/>
          <w:smallCaps w:val="false"/>
          <w:sz w:val="20"/>
        </w:rPr>
        <w:t>2025 Non-Product Development Business Developments</w:t>
      </w:r>
    </w:p>
    <w:p>
      <w:pPr>
        <w:pStyle w:val="TextBody"/>
        <w:bidi w:val="0"/>
        <w:spacing w:before="0" w:after="0"/>
        <w:ind w:left="0" w:right="0" w:hanging="0"/>
        <w:jc w:val="left"/>
        <w:rPr/>
      </w:pPr>
      <w:r>
        <w:rPr/>
        <w:t> </w:t>
      </w:r>
    </w:p>
    <w:p>
      <w:pPr>
        <w:pStyle w:val="TextBody"/>
        <w:bidi w:val="0"/>
        <w:spacing w:before="0" w:after="0"/>
        <w:ind w:left="100" w:right="0" w:hanging="0"/>
        <w:jc w:val="left"/>
        <w:rPr>
          <w:rFonts w:ascii="Times New Roman" w:hAnsi="Times New Roman"/>
          <w:i/>
          <w:caps w:val="false"/>
          <w:smallCaps w:val="false"/>
          <w:sz w:val="20"/>
        </w:rPr>
      </w:pPr>
      <w:r>
        <w:rPr>
          <w:rFonts w:ascii="Times New Roman" w:hAnsi="Times New Roman"/>
          <w:i/>
          <w:caps w:val="false"/>
          <w:smallCaps w:val="false"/>
          <w:sz w:val="20"/>
        </w:rPr>
        <w:t>Dismissal of Indictment of Dr. Hoau-Yan Wang</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previously disclosed, Hoau-Yan Wang, PhD, is a former scientific collaborator and advisor to our Company who conducted foundational research relating to our investigational drug, simufilam. On June 28, 2024, the U.S. Department of Justice (DOJ) announced that a federal grand jury in the U.S. District Court for the District of Maryland returned a criminal indictment of Dr. Wang.  Among other things, the charges accused Dr. Wang of causing our Company to submit grant applications to the NIH that allegedly contained false and fraudulent representations about his research and of manipulating or otherwise fabricating research results, including Western Blot images that he prepared. On October 23, 2025, the United States District Court for the District of Maryland granted the United States’ unopposed motion to dismiss with prejudice the indictment against Dr. Wang. This order permanently terminates the case against Dr. Wang, and future charges related to the dismissed indictment cannot be refiled against Dr. Wang.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previously disclosed, the DOJ’s Fraud Section informed the Company on February 18, 2026 that it had closed its inquiry into the Company regarding allegations of research misconduct as described in the now-dismissed indictment of Dr. Wang.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were incorporated as a Delaware corporation in May 1998 under the name Pain Therapeutics, Inc. In March 2019, we changed our company name to Cassava Sciences, Inc. On March 10, 2026, we changed our company name to Filana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principal offices are located at 6801 N. Capital of Texas Highway, Building 1; Suite 300, Austin, TX, 78731. Our telephone number is 512-501-2444. Our website address is www.filanatx.com. Information contained on our website is not a part of this Annual Report on Form 10-K and the inclusion of our website address in this Annual Report on Form 10-K is an inactive textual reference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use Filana Therapeutics, the Filana Therapeutics logo, artwork and other marks as trademarks in the United States and other countries.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We file electronically with the Securities and Exchange Commission (SEC) our annual reports on Form 10-K, quarterly reports on Form 10-Q and current reports on Form 8-K pursuant to Section 13(a) or 15(d) of the Securities Exchange Act of 1934, as amended (the “Exchange Act”). The SEC maintains an Internet site that contains reports, proxy and information statements, and other information regarding issuers that file electronically with the SEC. The address of the site is </w:t>
      </w:r>
      <w:r>
        <w:rPr>
          <w:rFonts w:ascii="Times New Roman" w:hAnsi="Times New Roman"/>
          <w:caps w:val="false"/>
          <w:smallCaps w:val="false"/>
          <w:sz w:val="20"/>
          <w:u w:val="single"/>
        </w:rPr>
        <w:t>http://www.sec.gov</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You may obtain a free copy of our annual reports on Form 10-K, quarterly reports on Form 10-Q and current reports on Form 8-K and amendments to those reports on the day of filing with the SEC on our website at </w:t>
      </w:r>
      <w:r>
        <w:rPr>
          <w:rFonts w:ascii="Times New Roman" w:hAnsi="Times New Roman"/>
          <w:caps w:val="false"/>
          <w:smallCaps w:val="false"/>
          <w:sz w:val="20"/>
          <w:u w:val="single"/>
        </w:rPr>
        <w:t>http://www.filanatx.com</w:t>
      </w:r>
      <w:r>
        <w:rPr>
          <w:rFonts w:ascii="Times New Roman" w:hAnsi="Times New Roman"/>
          <w:caps w:val="false"/>
          <w:smallCaps w:val="false"/>
          <w:sz w:val="20"/>
        </w:rPr>
        <w:t xml:space="preserve">, by contacting our corporate offices by calling 512-501-2450 or by sending an e-mail message to </w:t>
      </w:r>
      <w:r>
        <w:rPr>
          <w:rFonts w:ascii="Times New Roman" w:hAnsi="Times New Roman"/>
          <w:caps w:val="false"/>
          <w:smallCaps w:val="false"/>
          <w:sz w:val="20"/>
          <w:u w:val="single"/>
        </w:rPr>
        <w:t>IR@filanatx.com</w:t>
      </w:r>
      <w:r>
        <w:rPr>
          <w:rFonts w:ascii="Times New Roman" w:hAnsi="Times New Roman"/>
          <w:caps w:val="false"/>
          <w:smallCaps w:val="false"/>
          <w:sz w:val="20"/>
        </w:rPr>
        <w:t>. The contents of our website are not incorporated into this filing.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4" w:name="item1a"/>
      <w:bookmarkEnd w:id="4"/>
      <w:r>
        <w:rPr>
          <w:rFonts w:ascii="Times New Roman" w:hAnsi="Times New Roman"/>
          <w:b/>
          <w:caps w:val="false"/>
          <w:smallCaps w:val="false"/>
          <w:sz w:val="20"/>
        </w:rPr>
        <w:t xml:space="preserve">Item 1A. </w:t>
      </w:r>
      <w:r>
        <w:rPr>
          <w:rFonts w:ascii="Times New Roman" w:hAnsi="Times New Roman"/>
          <w:caps w:val="false"/>
          <w:smallCaps w:val="false"/>
          <w:sz w:val="20"/>
        </w:rPr>
        <w:t>    </w:t>
      </w:r>
      <w:r>
        <w:rPr>
          <w:rFonts w:ascii="Times New Roman" w:hAnsi="Times New Roman"/>
          <w:b/>
          <w:i/>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 FACTORS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Investing in our securities involves a high degree of risk. This section includes a discussion of what we believe to be the material factors that make an investment in our Company speculative or risky. The risks described in this section are not the only risks we face.</w:t>
      </w:r>
      <w:r>
        <w:rPr>
          <w:rFonts w:ascii="Times New Roman" w:hAnsi="Times New Roman"/>
          <w:caps w:val="false"/>
          <w:smallCaps w:val="false"/>
          <w:sz w:val="20"/>
        </w:rPr>
        <w:t> </w:t>
      </w:r>
      <w:r>
        <w:rPr>
          <w:rFonts w:ascii="Times New Roman" w:hAnsi="Times New Roman"/>
          <w:i/>
          <w:caps w:val="false"/>
          <w:smallCaps w:val="false"/>
          <w:sz w:val="20"/>
        </w:rPr>
        <w:t>Additional risks and uncertainties not presently known to us or that we currently deem immaterial also may impair our business operations and the market price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 xml:space="preserve">You should carefully consider the risks described below, as well as other information contained in this Annual Report on Form 10-K, including our consolidated financial statements and the related notes and the section titled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before deciding whether to invest in our securities. The occurrence of any of the events or developments described below could harm our business, financial condition, results of operations, and growth prospects. In such an event, the market price of our securities could decline, and you may lose all or part of your investment.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the Discovery, Development, and Commercialization of Our Product Candidates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We have no approved products.</w:t>
            </w:r>
            <w:r>
              <w:rPr>
                <w:rFonts w:ascii="Times New Roman;Times;serif" w:hAnsi="Times New Roman;Times;serif"/>
                <w:sz w:val="20"/>
              </w:rPr>
              <w:t xml:space="preserve">  </w:t>
            </w:r>
            <w:r>
              <w:rPr>
                <w:rFonts w:ascii="Times New Roman;Times;serif" w:hAnsi="Times New Roman;Times;serif"/>
                <w:i/>
                <w:sz w:val="20"/>
              </w:rPr>
              <w:t>Our product candidates are subject to significant development risks, and we may never achieve regulatory approval or commercial success.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The FDA has placed a full clinical hold on our planned clinical studies, which may delay our drug development efforts and cause our business to suffer.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Our product candidates are based on new scientific approaches and novel technology, which makes it difficult to predict the time and cost of product candidate development and likelihood of success.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The drug development process, the clinical trial process and the enrollment and retention of patients in clinical trials could be challenging, expensive and time-consuming for the indications that we are targeting.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are heavily dependent on the success of simufilam, our lead product candidate which is under development. If this product candidate is unsuccessful in clinical development, or does not receive regulatory approval, we will be unable to generate product revenue and our business will be harmed.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We have a limited operating history in our business targeting TSC-</w:t>
            </w:r>
            <w:r>
              <w:rPr>
                <w:rFonts w:ascii="Times New Roman;Times;serif" w:hAnsi="Times New Roman;Times;serif"/>
                <w:sz w:val="20"/>
              </w:rPr>
              <w:t xml:space="preserve">related </w:t>
            </w:r>
            <w:r>
              <w:rPr>
                <w:rFonts w:ascii="Times New Roman;Times;serif" w:hAnsi="Times New Roman;Times;serif"/>
                <w:i/>
                <w:sz w:val="20"/>
              </w:rPr>
              <w:t>epilepsy and no history of product approvals for commercial sale, which may make it difficult to evaluate our current business and predict our future success and viability.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i/>
              </w:rPr>
            </w:pPr>
            <w:r>
              <w:rPr>
                <w:i/>
              </w:rPr>
              <w:t>We may not be able to obtain orphan drug exclusivity for our product candidates in either the United States or the EU.</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i/>
              </w:rPr>
            </w:pPr>
            <w:r>
              <w:rPr>
                <w:i/>
              </w:rPr>
              <w:t>Our inability to develop formulations of simufilam appropriate for pediatric patients under the age of 12 could delay or prevent clinical trials of simufilam in that population.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cannot give any assurance that we will file for regulatory approval for any of our product candidates, or that if we file for approval, our product candidates will receive regulatory approval, which is necessary before they can be commercialized.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Results observed in preclinical studies and</w:t>
            </w:r>
            <w:r>
              <w:rPr>
                <w:rFonts w:ascii="Times New Roman;Times;serif" w:hAnsi="Times New Roman;Times;serif"/>
                <w:sz w:val="20"/>
              </w:rPr>
              <w:t> </w:t>
            </w:r>
            <w:r>
              <w:rPr>
                <w:rFonts w:ascii="Times New Roman;Times;serif" w:hAnsi="Times New Roman;Times;serif"/>
                <w:i/>
                <w:sz w:val="20"/>
              </w:rPr>
              <w:t>early stage</w:t>
            </w:r>
            <w:r>
              <w:rPr>
                <w:rFonts w:ascii="Times New Roman;Times;serif" w:hAnsi="Times New Roman;Times;serif"/>
                <w:sz w:val="20"/>
              </w:rPr>
              <w:t> </w:t>
            </w:r>
            <w:r>
              <w:rPr>
                <w:rFonts w:ascii="Times New Roman;Times;serif" w:hAnsi="Times New Roman;Times;serif"/>
                <w:i/>
                <w:sz w:val="20"/>
              </w:rPr>
              <w:t>clinical trials for simufilam are not sufficient evidence of drug safety or efficacy for purposes of regulatory approval.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may encounter substantial delays in clinical studies that we conduct or may not be able to conduct or complete clinical studies on the timelines we expect, if at all.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i/>
              </w:rPr>
            </w:pPr>
            <w:r>
              <w:rPr>
                <w:i/>
              </w:rPr>
              <w:t>Governmental actions with respect to U.S. drug prices could negatively impact our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physicians and patients do not accept and use our drugs, we will not achieve sufficient product revenues and our business will suffer.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currently do not have the in-house capabilities to manufacture or commercialize our product candidates, and we rely on a third-party commercial drug manufacturing organization for supplies of simufilam. If we are unable to develop our own manufacturing, sales, marketing and distribution capabilities, or if we are not successful in contracting with third parties for these services on favorable terms, or at all, our product revenues could be adversely impacted.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Clinical studies that we conduct may fail to demonstrate substantial evidence of the safety and efficacy of our product candidates, which would prevent, delay, or limit the scope of regulatory approval and commercialization.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 and Other Legal Compliance Matters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both"/>
              <w:rPr/>
            </w:pPr>
            <w:r>
              <w:rPr/>
              <w:t xml:space="preserve">● </w:t>
            </w:r>
          </w:p>
        </w:tc>
        <w:tc>
          <w:tcPr>
            <w:tcW w:w="9939"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Our financial condition and operating results could be adversely impacted by unfavorable results of legal proceedings, government investigations or allegations and other claims.</w:t>
            </w:r>
          </w:p>
        </w:tc>
      </w:tr>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both"/>
              <w:rPr/>
            </w:pPr>
            <w:r>
              <w:rPr/>
              <w:t xml:space="preserve">● </w:t>
            </w:r>
          </w:p>
        </w:tc>
        <w:tc>
          <w:tcPr>
            <w:tcW w:w="9939"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we are ultimately unable to file for and obtain regulatory approval for our product candidates, we will be unable to generate product revenue and our business will be substantially harmed.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both"/>
              <w:rPr/>
            </w:pPr>
            <w:r>
              <w:rPr/>
              <w:t xml:space="preserve">● </w:t>
            </w:r>
          </w:p>
        </w:tc>
        <w:tc>
          <w:tcPr>
            <w:tcW w:w="9951"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Our ability to market and promote our product candidates will be determined and limited by FDA-approved labeling.</w:t>
            </w:r>
          </w:p>
        </w:tc>
      </w:tr>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both"/>
              <w:rPr/>
            </w:pPr>
            <w:r>
              <w:rPr/>
              <w:t xml:space="preserve">● </w:t>
            </w:r>
          </w:p>
        </w:tc>
        <w:tc>
          <w:tcPr>
            <w:tcW w:w="9951"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we fail to comply or stay in compliance with the complex set of federal, state, local and foreign laws and regulations that apply to our business, we could suffer severe consequences that could materially and adversely affect our operating results and financial condition.</w:t>
            </w:r>
          </w:p>
        </w:tc>
      </w:tr>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Government agencies may establish and promulgate usage guidelines that could limit the use of our product candidates.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Our Intellectual Property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1"/>
        <w:gridCol w:w="9954"/>
      </w:tblGrid>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both"/>
              <w:rPr/>
            </w:pPr>
            <w:r>
              <w:rPr/>
              <w:t xml:space="preserve">● </w:t>
            </w:r>
          </w:p>
        </w:tc>
        <w:tc>
          <w:tcPr>
            <w:tcW w:w="9954"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we are unable to obtain and maintain sufficient patent protection for any product candidates we develop, our competitors could develop and commercialize products similar or identical to ours, and our ability to successfully commercialize any product candidates we may develop may be adversely affected.</w:t>
            </w:r>
          </w:p>
        </w:tc>
      </w:tr>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both"/>
              <w:rPr/>
            </w:pPr>
            <w:r>
              <w:rPr/>
              <w:t xml:space="preserve">● </w:t>
            </w:r>
          </w:p>
        </w:tc>
        <w:tc>
          <w:tcPr>
            <w:tcW w:w="9954"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Issued patents covering our product candidates and other technologies could be found invalid or unenforceable if challenged in court or before administrative bodies in the U.S. or abroad.</w:t>
            </w:r>
          </w:p>
        </w:tc>
      </w:tr>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both"/>
              <w:rPr/>
            </w:pPr>
            <w:r>
              <w:rPr/>
              <w:t xml:space="preserve">● </w:t>
            </w:r>
          </w:p>
        </w:tc>
        <w:tc>
          <w:tcPr>
            <w:tcW w:w="9954"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we do not obtain patent term extension and data exclusivity for any product candidates we may develop, our business may be materially harmed.</w:t>
            </w:r>
          </w:p>
        </w:tc>
      </w:tr>
      <w:tr>
        <w:trPr/>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both"/>
              <w:rPr/>
            </w:pPr>
            <w:r>
              <w:rPr/>
              <w:t xml:space="preserve">● </w:t>
            </w:r>
          </w:p>
        </w:tc>
        <w:tc>
          <w:tcPr>
            <w:tcW w:w="9954"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If we are unable to protect the confidentiality of our trade secrets, our business and competitive position would be materially harmed.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Our Business and Operations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99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We are subject to lawsuits and governmental investigations and inquiries.</w:t>
            </w:r>
          </w:p>
        </w:tc>
      </w:tr>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pPr>
            <w:r>
              <w:rPr/>
              <w:t xml:space="preserve">● </w:t>
            </w:r>
          </w:p>
        </w:tc>
        <w:tc>
          <w:tcPr>
            <w:tcW w:w="994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Our ability to operate without any significant disruptions will, in part, depend on our ability to source materials and clinical supplies via our product supply chains.</w:t>
            </w:r>
          </w:p>
        </w:tc>
      </w:tr>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pPr>
            <w:r>
              <w:rPr/>
              <w:t xml:space="preserve">● </w:t>
            </w:r>
          </w:p>
        </w:tc>
        <w:tc>
          <w:tcPr>
            <w:tcW w:w="994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Our reliance on third parties for both the supply and manufacture of materials for our product candidates carries the risk that we will not have sufficient quality or quantities of such materials or product candidates, or that such supply will not be available to us at an acceptable cost, which could delay, prevent, or impair our development or commercialization efforts.</w:t>
            </w:r>
          </w:p>
        </w:tc>
      </w:tr>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pPr>
            <w:r>
              <w:rPr/>
              <w:t xml:space="preserve">● </w:t>
            </w:r>
          </w:p>
        </w:tc>
        <w:tc>
          <w:tcPr>
            <w:tcW w:w="994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Our internal computer systems, or those used by third parties on whom we rely, may fail or suffer other breakdowns, cyberattacks, or information security breaches that could compromise the confidentiality, integrity, and availability of such systems and data, result in material disruptions of our development programs and business operations, risk disclosure of confidential, financial, or proprietary information, and affect our reputation.</w:t>
            </w:r>
          </w:p>
        </w:tc>
      </w:tr>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pPr>
            <w:r>
              <w:rPr/>
              <w:t xml:space="preserve">● </w:t>
            </w:r>
          </w:p>
        </w:tc>
        <w:tc>
          <w:tcPr>
            <w:tcW w:w="994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Business disruptions and lack of appropriate levels of commercial insurance could seriously harm our future revenue and financial condition and increase our costs and expenses.</w:t>
            </w:r>
          </w:p>
        </w:tc>
      </w:tr>
      <w:tr>
        <w:trPr/>
        <w:tc>
          <w:tcPr>
            <w:tcW w:w="75"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both"/>
              <w:rPr/>
            </w:pPr>
            <w:r>
              <w:rPr/>
              <w:t xml:space="preserve">● </w:t>
            </w:r>
          </w:p>
        </w:tc>
        <w:tc>
          <w:tcPr>
            <w:tcW w:w="994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Social media platforms have significantly altered the dynamics of corporate communications and present risks and challenges, some of which are and may continue to be unknown to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Financial Condition and Capital Requirements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pPr>
            <w:r>
              <w:rPr/>
              <w:t xml:space="preserve">● </w:t>
            </w:r>
          </w:p>
        </w:tc>
        <w:tc>
          <w:tcPr>
            <w:tcW w:w="9931"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have incurred significant net losses in each period since our inception and anticipate that we will continue to incur net losses for the foreseeable future.</w:t>
            </w:r>
          </w:p>
        </w:tc>
      </w:tr>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pPr>
            <w:r>
              <w:rPr/>
              <w:t xml:space="preserve">● </w:t>
            </w:r>
          </w:p>
        </w:tc>
        <w:tc>
          <w:tcPr>
            <w:tcW w:w="99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We have broad discretion in the use of our capital resources, including the net proceeds from</w:t>
            </w:r>
            <w:r>
              <w:rPr>
                <w:rFonts w:ascii="Times New Roman;Times;serif" w:hAnsi="Times New Roman;Times;serif"/>
                <w:sz w:val="20"/>
              </w:rPr>
              <w:t xml:space="preserve"> </w:t>
            </w:r>
            <w:r>
              <w:rPr>
                <w:rFonts w:ascii="Times New Roman;Times;serif" w:hAnsi="Times New Roman;Times;serif"/>
                <w:i/>
                <w:sz w:val="20"/>
              </w:rPr>
              <w:t>any of our financing transactions</w:t>
            </w:r>
            <w:r>
              <w:rPr>
                <w:rFonts w:ascii="Times New Roman;Times;serif" w:hAnsi="Times New Roman;Times;serif"/>
                <w:sz w:val="20"/>
              </w:rPr>
              <w:t xml:space="preserve"> </w:t>
            </w:r>
            <w:r>
              <w:rPr>
                <w:rFonts w:ascii="Times New Roman;Times;serif" w:hAnsi="Times New Roman;Times;serif"/>
                <w:i/>
                <w:sz w:val="20"/>
              </w:rPr>
              <w:t>and may not use them effectively.</w:t>
            </w:r>
          </w:p>
        </w:tc>
      </w:tr>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pPr>
            <w:r>
              <w:rPr/>
              <w:t xml:space="preserve">● </w:t>
            </w:r>
          </w:p>
        </w:tc>
        <w:tc>
          <w:tcPr>
            <w:tcW w:w="9931"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We have no product revenues and may never achieve revenues or profitability based on product 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the Ownership of Our Common Stock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The market price of our common stock has historically been highly volatile and we expect it to continue to be volatile, which could result in substantial losses for investors who purchase our shares.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our ownership could limit our ability to utilize net operating loss carryforwards.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the Discovery, Development, and Commercialization of Our Product Candidates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no approved products. Our product candidates are subject to significant development risk, and we may never achieve regulatory approval or commercial success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developing a therapeutic product candidate, but to date have no approved products and until 2025 have concentrated substantially all of our resources on research and development efforts on experimental methods for the treatment of Alzheimer’s disease. As we advance development of our TSC-related epilepsy product candidate and explore expansion into other therapeutic indications, we expect that we will continue to expend substantial resources on research and development.  All of the product candidates that we seek to develop are subject to significant development risk, as the development of new pharmaceutical treatments is inherently risky.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Developing and, if approved, commercializing a novel treatment for a central nervous system disorder, such as TSC-related epilepsy, subjects us to many challenges, including obtaining regulatory approval from FDA and other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Because of the challenges associated with drug development, we may never achieve regulatory approval or commercial success for any of the product candidates that we develop.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FDA has placed a full clinical hold on our planned clinical studies, which may cause our business to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clinical hold is an order issued by FDA or another regulatory agency to suspend an ongoing or planned clinical trial, typically due to newly identified deficiencies with, or the need for additional information regarding, the subject study or drug candidate.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December 15, 2025, the Company received a formal letter from FDA confirming that our proposed clinical trial is on full clinical hold subject to the Company providing FDA with additional information, including additional pre-clinical data, and modifying the protocol design. The updated timing for initiation of a clinical trial will depend on the Company’s ability to provide the requested information and on satisfactory completion of FDA’s review.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grounds for imposition of a clinical hold are complex, variable and fact specific. For the current clinical hold, FDA expects us to address the cited deficiencies or provide the requested additional information, in each case, through the submission of a detailed, written response. The clinical hold requires us to spend significant resources to address the root causes of FDA’s concerns. If we were unable to find and successfully address such root causes or if our response were deemed inadequate to lift the clinical hold, this would adversely affect our business. If we are subjected to a clinical hold that remained in effect for one year or longer, the FDA may consider the IND for the affected product candidate to fall into Inactive Status, which may result in termination of the corresponding clinical program.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working expeditiously to respond to the FDA’s requests and to lift the hold. To the extent, however, that we are not successful in lifting the current clinical hold imposed by FDA, our results of operations and business will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product candidates are based on new scientific approaches and novel technology, which makes it difficult to predict the time and cost of product candidate development and likelihood of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lead drug candidate, simufilam, targets a scaffolding protein called filamin A. In light of existing research, we believe that filamin A is a promising target for drug development with respect to TSC-related epilepsy. However, we cannot be certain that our novel technologies will yield clinical results that support the approval of a safe and effective therapeutic product or, if approvable, that such a product will be marketable. In addition, because FDA has limited comparators to evaluate our lead drug candidate, we could experience a longer than expected regulatory review process and increased development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drug development process, the clinical trial process and the enrollment and retention of patients in clinical trials could be challenging, expensive and time-consuming for the indications that we are targeting.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Identifying and qualifying patients to participate in clinical studies is critical to the success of the relevant product candidate. The timing of clinical studies depends, in part, on the speed of recruitment of patients to participate in testing such product candidates as well as completion of required follow-up periods. For any study that we initiate, we may not be able to identify, recruit and enroll a sufficient number of patients or patients with required or desired characteristics to achieve the objectives of the study. If patients are unable or unwilling to participate in such studies, the timeline for recruiting patients, conducting studies and obtaining regulatory approval of potential products may be delayed. These delays could result in increased costs, delays in advancing our product candidates, delays in testing the effectiveness of our technology, failure to meet study endpoints or objectives or termination of the clinical studies altogether.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Patient enrollment and retention in clinical trials depends on many factors, including the size of the patient population, the nature of the trial protocol, the existing body of safety and efficacy data, the number and nature of competing treatments and ongoing clinical trials of competing therapies for the same indication, the proximity of patients to clinical sites and the eligibility criteria for the trial. Such enrollment issues could cause delays or prevent development and approval of our drug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Furthermore, our efforts to build relationships with patient communities may not succeed, which could result in delays in patient enrollment in our clinical trials. In addition, negative results in previous clinical trials of our drug candidate may make it difficult or impossible to recruit and retain patients in other clinical trials of that same drug candidate. For example, our enrollment efforts for future clinical trials, regardless of indication, may face headwinds as a result of the failure of our RETHINK-ALZ and REFOCUS-ALZ clinical trial to achieve their primary endpoints.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face particular challenges pursuing an indication for simufilam for TSC-related epilepsy. Because TSC is a rare neurological disorder, there are limited patient pools from which to draw in order to complete clinical trials in a timely and cost-effective manner. Identifying and qualifying patients to participate in our clinical trials would be critical to our success in pursuing an indication in TSC for simufilam. The number of patients suffering from TSC is approximately 45,000 people in the United States and has not been established with precision. If the actual number of patients with TSC is smaller than we anticipate, we may encounter difficulties in enrolling patients in our clinical trials, thereby delaying or preventing development and approval of a drug candidate. Even once enrolled we may be unable to retain a sufficient number of patients to complete trials for TSC-related epilepsy.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Delays or failures in planned patient enrollment or retention may result in increased costs, program delays or both, which could have a harmful effect on our ability to develop our drug candidates or could render further development impossible.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are heavily dependent on the success of simufilam, our lead product candidate, which is under development. If this product candidate is unsuccessful in clinical development</w:t>
      </w:r>
      <w:r>
        <w:rPr>
          <w:rFonts w:ascii="Times New Roman" w:hAnsi="Times New Roman"/>
          <w:caps w:val="false"/>
          <w:smallCaps w:val="false"/>
          <w:sz w:val="20"/>
        </w:rPr>
        <w:t xml:space="preserve">  </w:t>
      </w:r>
      <w:r>
        <w:rPr>
          <w:rFonts w:ascii="Times New Roman" w:hAnsi="Times New Roman"/>
          <w:b/>
          <w:i/>
          <w:caps w:val="false"/>
          <w:smallCaps w:val="false"/>
          <w:sz w:val="20"/>
        </w:rPr>
        <w:t>or</w:t>
      </w:r>
      <w:r>
        <w:rPr>
          <w:rFonts w:ascii="Times New Roman" w:hAnsi="Times New Roman"/>
          <w:caps w:val="false"/>
          <w:smallCaps w:val="false"/>
          <w:sz w:val="20"/>
        </w:rPr>
        <w:t xml:space="preserve"> </w:t>
      </w:r>
      <w:r>
        <w:rPr>
          <w:rFonts w:ascii="Times New Roman" w:hAnsi="Times New Roman"/>
          <w:b/>
          <w:i/>
          <w:caps w:val="false"/>
          <w:smallCaps w:val="false"/>
          <w:sz w:val="20"/>
        </w:rPr>
        <w:t>does not receive regulatory approval, we will be unable to generate product revenue and our business will</w:t>
      </w:r>
      <w:r>
        <w:rPr>
          <w:rFonts w:ascii="Times New Roman" w:hAnsi="Times New Roman"/>
          <w:caps w:val="false"/>
          <w:smallCaps w:val="false"/>
          <w:sz w:val="20"/>
        </w:rPr>
        <w:t> </w:t>
      </w:r>
      <w:r>
        <w:rPr>
          <w:rFonts w:ascii="Times New Roman" w:hAnsi="Times New Roman"/>
          <w:b/>
          <w:i/>
          <w:caps w:val="false"/>
          <w:smallCaps w:val="false"/>
          <w:sz w:val="20"/>
        </w:rPr>
        <w:t xml:space="preserve">be harmed.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business is substantially dependent on our ability to successfully complete clinical development and obtain regulatory approval for simufilam, which may never occur. Until 2025, we have invested a significant portion of our efforts and financial resources in the development of simufilam for the treatment and detection of Alzheimer’s disease. We are currently subject to a full clinical hold. If we are successful in our efforts to have the clinical hold lifted, we intend to conduct a proof-of-concept clinical study to better understand simufilam’s potential as a treatment for TSC-related epilepsy.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results of clinical studies are subject to a variety of factors, and there can be no assurance for any indication that simufilam will achieve clinical success, advance to regulatory approval, be approved by applicable regulatory agencies, or be successfully commercialized.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 unfavorable outcome in one or more of the clinical trials that we conduct would be a major setback for our product candidates and for us and may require us to delay, reduce or re-define the scope of, or eliminate one or more product candidate development programs, any of which could have a material adverse effect on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a limited operating history in our business targeting TSC-related epilepsy and no history of product approvals for commercial sale, which may make it difficult to evaluate our current business and predict our future success and viability.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a clinical-stage biopharmaceutical company with a limited operating history. Our business targeted Alzheimer’s disease through mid-2025 and currently targets TSC-related epilepsy. Since we commenced operations in 1998, we have had no product candidates approved for commercial sale and have not generated any revenue from product sales. Drug development is a highly uncertain undertaking and involves a substantial degree of risk. To date, we have not obtained marketing approval for any product candidates or conducted sales and marketing activities necessary for successful product commercialization. Our long operating history as a company without product revenue makes any assessment of our future success and viability subject to significant uncertainty.</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continue to encounter risks and difficulties frequently experienced by clinical-stage biopharmaceutical companies in rapidly evolving fields. We have not yet demonstrated an ability to successfully overcome such risks and difficulties. If we do not successfully address these risks and difficulties, our business, results of operations and financial condition will suffer materially.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We may not be able to obtain orphan drug exclusivity for our product candidates in the United States or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seek orphan drug designation and orphan drug exclusivity for one or more of our products or product candidates in the United States and the European Union (“EU”), but we may not be successful. Orphan drug designation does not guarantee regulatory approval or market exclusivity, and orphan drug exclusivity—if granted—is available only upon approval for a specific indication and is subject to significant limitations. Regulatory authorities may deny or revoke orphan designation or exclusivity if applicable criteria are not met, including if disease prevalence is higher than anticipated, if our product is not sufficiently differentiated from other therapies, or if a competing product is determined to be clinically superior. Even if orphan drug exclusivity is obtained, it may be limited in scope, apply only to a particular indication, and may not prevent competitors from developing or commercializing alternative therapies. If we are unable to obtain or maintain orphan drug exclusivity, or if such exclusivity is narrower or less valuable than expected, our ability to successfully commercialize our products candidates could be materially adversely affected.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inability to develop formulations of simufilam appropriate for pediatric patients under the age of 12 could delay or prevent clinical trials of simufilam in that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product candidate, simufilam, currently is available only in formulations that may not be appropriate for administration to pediatric patients below the age of 12. The development of age</w:t>
        <w:noBreakHyphen/>
        <w:t>appropriate formulations for younger pediatric populations presents significant scientific, regulatory, and manufacturing challenges, and we may be unable to develop such formulations in a timely manner or at all. If we are unable to develop formulations suitable for this patient population, we may be required to delay, limit, or forego future clinical trials in patients under the age of 12, which could adversely affect our development timelines, regulatory strategy, and ability to pursue pediatric indications. Any such delays or limitations could materially and adversely affect our business,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cannot give any assurance that we will file for regulatory approval for any of our product candidates or that, if we file for approval, our product candidates will receive regulatory approval, which is necessary before they can be commercialized.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 date, we have invested substantial effort and financial resources to identify, procure intellectual property for, and develop our programs in neurodegeneration and other central nervous system disorders, including conducting preclinical and clinical studies for our product candidate, simufilam, and providing general and administrative support for these operations. Our future success is dependent on our ability to successfully develop, obtain regulatory approval for, and then successfully commercialize our product candidates, and we may fail to do so for many reasons, including the following:  </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product candidates may not successfully complete preclinical studies or clinical studies;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product candidate may, on further study, be shown to have harmful side effects or other characteristics that indicate it is unlikely to be safe or effective or otherwise does not meet applicable regulatory criteria;</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competitors may develop products or therapies that render our product candidates obsolete or less attractive;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product candidates that we develop may not be sufficiently covered by intellectual property;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product candidates that we develop may be challenged by third parties’ patents or other intellectual property or exclusive rights;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market for our product candidates may change so that the continued development of a product candidate is no longer reasonable or commercially attractive;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product candidates may not be capable of being produced in commercial quantities at an acceptable cost, or at all;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 product candidate obtains regulatory approval, we may be unable to establish sales and marketing capabilities, or successfully market such approved product candidate, to gain market acceptance;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product candidate may not be accepted as safe, effective or useful by patients, the medical community or third-party payors, if applicable.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any of these events occur, we may be forced to abandon our development efforts for a program or programs, which would have a material adverse effect on our business and could potentially cause us to cease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not be successful in our efforts to further develop our product candidates. We are not permitted to market or promote any of our product candidates before we receive regulatory approval from FDA or comparable foreign regulatory authorities, and we may never receive such regulatory approval for any of our product candidates. Simufilam, our lead product candidate, will require successful completion of a Phase 3 program, management of preclinical, clinical, and manufacturing activities, regulatory approval, adequate manufacturing supply, a commercial organization, and significant marketing efforts before we generate any revenue from product sales, if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never completed a product development program in neurodegeneration or other central nervous system disorders. Further, we cannot be certain that any of our product candidates will be successful in clinical studies, and we may terminate existing or future clinical studies prior to their completion, as occurred with our REFOCUS-ALZ Phase 3 clinical trial and open-label extension trials for Alzheimer’s disease following the failure of our RETHINK-ALZ Phase 3 clinical trial to achieve its pre-specified endpoints.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any of our product candidates successfully complete clinical studies, we may seek regulatory approval to market our product candidates in the U.S., Japan, Canada, the United Kingdom or the European Union, and in additional foreign countries where we believe there is a viable commercial opportunity. We may never receive regulatory approval to market any product candidates anywhere even if such product candidates successfully complete clinical studies, which would adversely affect our viability. To obtain regulatory approval in countries outside the U.S., we would need to comply with numerous and varying regulatory requirements of such other countries regarding safety, efficacy, manufacturing and controls, clinical studies, commercial sales, pricing, and distribution of our product candidates. Even if we are successful in obtaining approval in one jurisdiction, we cannot ensure that we will obtain approval in any other jurisdictions. If we are unable to obtain approval for our product candidates in multiple jurisdictions, our business, financial condition, results of operations, and our growth prospects could be negatively affected.</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Even if we receive regulatory approval to market any of our product candidates, whether for the treatment or diagnosis of neurodegenerative diseases or other diseases, we cannot provide assurance that any such product candidate will be successfully commercialized, widely accepted in the marketplace or more effective than other commercially available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There can be no assurance that promising results of preclinical studies or</w:t>
      </w:r>
      <w:r>
        <w:rPr>
          <w:rFonts w:ascii="Times New Roman" w:hAnsi="Times New Roman"/>
          <w:caps w:val="false"/>
          <w:smallCaps w:val="false"/>
          <w:sz w:val="20"/>
        </w:rPr>
        <w:t xml:space="preserve"> </w:t>
      </w:r>
      <w:r>
        <w:rPr>
          <w:rFonts w:ascii="Times New Roman" w:hAnsi="Times New Roman"/>
          <w:b/>
          <w:i/>
          <w:caps w:val="false"/>
          <w:smallCaps w:val="false"/>
          <w:sz w:val="20"/>
        </w:rPr>
        <w:t>Phase 1 or Phase 2 clinical trials with simufilam will be reproduced in later stage studies, including Phase 3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Results of any of our preclinical studies or Phase 1 or Phase 2 clinical trials with simufilam are not predictive of the future results of any other trial, including any later-stage Phase 3 clinical trials. Notwithstanding promising results in earlier stage trials, our two Phase 3 trials in Alzheimer’s disease did not meet each of the pre-specified co-primary, secondary and exploratory biomarker endpoints. Simufilam may fail to show the desired safety and efficacy in additional Phase 3 clinical trials despite having progressed successfully through preclinical studies and initial clinical trials in the applicable indication. Many biopharmaceutical companies have suffered significant setbacks in Phase 3 clinical trials due to lack of efficacy or adverse safety profiles, notwithstanding promising results in earlier trials. We cannot be certain that our product candidates under development will not continue to face similar setbacks.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preliminary conclusions based on data from analyses of Phase 1 and Phase 2 clinical studies and open-label results may not be reproduced when implemented in large, well-controlled, randomized clinical trials. Particular caution should be exercised when interpreting preliminary data, data relating to a small number of patients and data from open-label uncontrolled studies, which are generally not capable of providing interpretable evidence of efficacy. Phase 1 studies are designed to assess the initial safety characteristics of simufilam. Such studies are not designed to, and do not, evaluate safety, tolerability and efficacy of simufilam in patients. Similarly, Phase 2 clinical studies with simufilam that we conduct are designed to assess the safety characteristics of simufilam in patients. Such Phase 2 programs are not designed to, and do not, evaluate large-scale or long-term safety, tolerability and efficacy of simufilam in patients. There can be no assurance that future large, well-controlled, multi-dose studies will demonstrate the safety, tolerability or efficacy of simufilam to treat patients with any indication, including TSC-related epilepsy.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Even if clinical trials for simufilam are completed, we cannot be certain that their results will support the substantial evidence of safety and efficacy needed to obtain regulatory approval. The failure of simufilam to show safety, tolerability or efficacy in any future clinical studies would significantly harm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Results observed in preclinical studies and early stage clinical trials for simufilam are not sufficient evidence of drug safety or efficacy for purposes of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Data results from any preclinical and early stage studies that we conduct do not constitute, and should not be interpreted as, sufficient evidence of safety or efficacy for simufilam to obtain regulatory approval in the applicable indication, including TSC-related epilepsy. Rigorous evidence for drug safety and efficacy is derived only from one or more large, randomized, placebo-controlled studies. The size and open-label design of portions of our early stage studies may introduce clinical or statistical bias or may generate results that may not fully distinguish between drug effects and random variation. Different methods of statistical analysis on clinical data from the same study may lead to objectively different numerical results. These and other statistical and clinical features of our early stage studies add complexity or limitations to the scope of data interpretation.</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We may encounter substantial delays in the clinical studies that we conduct or may not be able to conduct or complete our clinical studies on the timelines we expect, if at all.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Clinical testing is expensive, time consuming, and subject to uncertainty. We cannot guarantee that any clinical studies will be conducted as planned, enroll patients as planned or be completed on schedule, if at all. As demonstrated by the clinical hold issued by FDA for our planned proof of concept trial in TSC-related epilepsy, regulatory action can delay a clinical study’s initiation and/or completion. Moreover, even after our studies begin, safety or other issues may arise that could suspend or terminate such clinical studies. A failure of one or more clinical studies can occur at any stage of testing, and our ongoing or future clinical studies may not be successful. Events that may prevent successful or timely initiation or completion of clinical studies include:</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inability to generate sufficient or necessary preclinical, toxicology, or other in vivo or in vitro data to support the initiation or continuation of clinical studies or to support the filing of a New Drug Application for simufilam;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delays in confirming target engagement, patient selection, or other relevant biomarkers to be utilized in preclinical and clinical product candidate development;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delays in reaching a consensus with regulatory agencies on study design;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delays in reaching an agreement on acceptable terms with prospective clinical study sites, the terms of which can be subject to extensive negotiation and may vary significantly among different clinical study sites;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delays in identifying and recruiting suitable clinical investigators;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delays in obtaining required IRB approval for each clinical study site or adverse action by one or more IRBs;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new safety finding that presents unreasonable risk to clinical study participants;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negative finding from an inspection of our CRO, clinical study operations or study sites;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finding that the investigational protocol or plan is deficient to meet its stated objectives;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delays in identifying, recruiting, and enrolling suitable patients to participate in our clinical studies, and delays caused by patients withdrawing from clinical studies, or failing to return for post-treatment follow-up;</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delays caused by disease epidemics, pandemics, or other health crises;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difficulty collaborating with patient groups and investigators;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failure by our CRO or other third parties, or us to adhere to clinical study requirements;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failure to perform in accordance with FDA’s or any other regulatory authority’s Code of Good Clinical Practice (GCP) requirements, or other regulatory guidelines in other countries;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occurrence of adverse events associated with the product candidate that are viewed to outweigh its potential benefits;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regulatory requirements and guidance that require amending or submitting new clinical protocols;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the standard of care on which a clinical development plan was based, which may require new or additional studies;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cost of clinical studies of our product candidates being greater than we anticipate;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clinical studies of our product candidates producing negative or inconclusive results, which may result in our deciding, or regulators requiring us, to conduct additional clinical studies or abandon product development programs;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delays in manufacturing, testing, releasing, validating, or importing/exporting sufficient stable quantities of our product candidates for use in clinical studies or the inability to do any of the foregoing.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inability to successfully initiate or complete clinical studies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 or the termination of such clinical studies prior to their completion, either of which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Governmental actions with respect to U.S. drug prices could negatively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U.S. federal and state governments have proposed and implemented, and may continue to propose or implement, measures intended to reduce prescription drug prices or control healthcare costs. Such actions could result in pricing or reimbursement pressures, increased compliance obligations, or changes in market access for our future products, which could materially and adversely affect our business, financial condition, results of operations, and prospects.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physicians and patients do not accept and use our drugs, we will not achieve sufficient product revenues and our business will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Even if FDA approves our drugs, physicians and patients may not accept and use them. Acceptance and use of our drugs will depend on a number of factors including:</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when the drug is launched into the market and related competition;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approved label claims;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perceptions by members of the healthcare community, including physicians, about the safety, side effects and effectiveness of our drugs;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perceptions by physicians regarding the cost-benefit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published studies demonstrating the cost effectiveness of our drugs relative to competing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availability of reimbursement for our products from government or healthcare payers;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effectiveness of marketing and distribution efforts by us and other licensees and distributors.</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we expect to rely on sales generated by our current lead product candidates for substantially all of our revenues for the foreseeable future, the failure of any of these drugs to find market acceptance would harm our business and could require us to seek additional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may not be successful in developing our product candidates in neurodegeneration or other forms of central nervous system disorders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product candidates are still in development. Such product candidates will take several years to develop and must undergo extensive clinical and scientific validations. Even if we are successful in developing any of our product candidates through clinical and scientific validation, we may not be able to develop a drug or a diagnostic that:</w:t>
      </w:r>
    </w:p>
    <w:p>
      <w:pPr>
        <w:pStyle w:val="TextBody"/>
        <w:bidi w:val="0"/>
        <w:spacing w:before="0" w:after="0"/>
        <w:ind w:left="720" w:right="0" w:hanging="36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meets applicable regulatory standards, in a timely manner or at all;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successfully competes with other technologies and tests;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avoids infringing the proprietary rights of others;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 adequately reimbursed by third-party payors;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can be performed at commercial levels or at reasonable cost;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can be successfully marketed.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 the extent we are not successful in developing product candidates, our results of operations and business will be materially adversely affected.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Interim, </w:t>
      </w:r>
      <w:r>
        <w:rPr>
          <w:rFonts w:ascii="Times New Roman" w:hAnsi="Times New Roman"/>
          <w:caps w:val="false"/>
          <w:smallCaps w:val="false"/>
          <w:sz w:val="20"/>
        </w:rPr>
        <w:t>“</w:t>
      </w:r>
      <w:r>
        <w:rPr>
          <w:rFonts w:ascii="Times New Roman" w:hAnsi="Times New Roman"/>
          <w:b/>
          <w:i/>
          <w:caps w:val="false"/>
          <w:smallCaps w:val="false"/>
          <w:sz w:val="20"/>
        </w:rPr>
        <w:t>top-line</w:t>
      </w:r>
      <w:r>
        <w:rPr>
          <w:rFonts w:ascii="Times New Roman" w:hAnsi="Times New Roman"/>
          <w:caps w:val="false"/>
          <w:smallCaps w:val="false"/>
          <w:sz w:val="20"/>
        </w:rPr>
        <w:t xml:space="preserve">” </w:t>
      </w:r>
      <w:r>
        <w:rPr>
          <w:rFonts w:ascii="Times New Roman" w:hAnsi="Times New Roman"/>
          <w:b/>
          <w:i/>
          <w:caps w:val="false"/>
          <w:smallCaps w:val="false"/>
          <w:sz w:val="20"/>
        </w:rPr>
        <w:t>and preliminary data from our clinical trials that we announce or publish from time to time are likely to change as more patient data become available and are subject to audit and verification procedures that could result in material changes in the final dataset.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From time to time, we may publish “top-line” or preliminary data from our clinical trials. We also make assumptions, estimations, calculations and conclusions as part of our analyses of data, and we may not have received or had the opportunity to fully and carefully evaluate all data at the time of its initial release. As a result, the top-line results that we report may differ from future results of the same studies, or different conclusions or considerations may qualify such results, once additional data have been received and fully evaluated. Such data from clinical trials may materially change as more study data become available. Preliminary or “top-line” data also remain subject to audit and verification procedures that may result in the final data being materially different from the preliminary data we previously published. As a result, preliminary top-line data should be viewed with caution until the final data is available. Differences between preliminary or top-line data and final data could significantly harm our business prospects and may cause the trading price of our securities to fluctuate significantly.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Furthermore, other parties, including regulatory agencies, may not accept or agree with our assumptions, estimates, calculations, conclusions or analyses or may interpret or weigh the importance of data differently than us, which could impact the value of the particular program,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currently do not have the in-house capabilities to manufacture or commercialize our product candidates, and we rely on a third-party commercial drug manufacturing organization for supplies of simufilam. If we are unable to develop our own manufacturing, sales, marketing and distribution capabilities, or if we are not successful in contracting with third parties for these services on favorable terms, or at all, our product revenues could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rely on various third parties to manufacture, fill, label, store, test and ship our product candidates. We plan to continue to outsource formulation, manufacturing and related activities. These suppliers must comply with cGMP regulations enforced by FDA and other government agencies, and are subject to ongoing periodic unannounced inspection, including preapproval inspections by FDA and corresponding state and foreign government agencies to ensure strict compliance with cGMP and other standards. These manufacturers may subsequently be stopped from producing, manufacturing, filling, labeling, storing, testing and shipping our product candidates due to their non-compliance with federal, state or local regulations. We do not have control over our suppliers’ compliance with these regulations and standards and we cannot control decisions by our suppliers that affect their ability or willingness to continue to supply us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Disputes may arise with third party service providers, which may lead to termination of an agreement. If an agreement is terminated, we would not be able to commercialize our product candidates until another manufacturer is identified and we have entered into a manufacturing agreement with such manufacturer. We may not be able to replace a commercial supplier on commercially reasonable terms, or at all. Replacing any of our commercial suppliers would be expensive and time consuming. Failure by any of our suppliers to perform as expected could delay or prevent the commercialization or potential regulatory approval of our product candidates for an extended period of time, result in shortages, cost overruns or other problems and would materially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currently do not have the sales, marketing or distribution capabilities necessary to support a commercial program. We have not established commercial strategies regarding any of our product candidates. In order to commercialize our products, if any are approved by FDA, we will either have to develop such capabilities internally or collaborate with third parties who can perform these services for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we decide to commercialize any of our drugs ourselves, we may not be able to</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hire and retain the necessary experienced personnel;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build sales, marketing and distribution operations in a cost-effective manner which are capable of successfully launching new drugs;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obtain access to adequate numbers of physicians to prescribe our products;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generate sufficient product revenues.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establishing such operations on our own will take time and involve significant expense. If our commercial operations lack complementary products, we may not be able to compete in a cost-effective manner with competitors with more products to sell. If we engage third-party collaborators to perform any commercial operations, our future revenues may depend significantly upon the performance of those collaborators. If we decide to enter into new co-promotion or other licensing arrangements with third parties, we may be unable to locate acceptable collaborators because the number of potential collaborators is limited and because of competition from others for similar alliances. Even if we are able to identify one or more acceptable new collaborators, we may not be able to enter into any collaborative arrangements on favorable terms, or at all.</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due to the nature of the market for our product candidates, it may be necessary for us to license all or substantially all of our product candidates to a single collaborator, thereby eliminating our opportunity to commercialize these other products independently. If we enter into any such new collaborative arrangements, our revenues are likely to be lower than if we marketed and sold our products ourselves.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any revenues we receive would depend upon our collaborators’ efforts which may not be adequate due to lack of attention or resource commitments, management turnover, change of strategic focus, business combinations or other factors outside of our control. Depending upon the terms of our collaboration, the remedies we have against an under-performing collaborator may be limited. If we were to terminate the relationship, it may be difficult or impossible to find a replacement collaborator on acceptable terms,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rely on third parties to conduct our studies and some aspects of our research, and such third parties may not perform satisfactorily, which could delay or harm our studies, research, and testing.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substantially rely and expect to continue to rely on third parties, such as CROs, clinical data management organizations, medical institutions, and clinical investigators, to conduct some aspects of our research and preclinical testing and our clinical studies. Any of these third parties may terminate their engagements with us or be unable to fulfill their contractual obligations. If we need to enter into alternative arrangements, it will delay our product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reliance on these third parties for research and development activities reduces our control over these activities but does not relieve us of our responsibilities. For example, we remain responsible for ensuring that all of our clinical studies are conducted in accordance with the general investigational plan and protocols for the trial. Moreover, FDA requires us to comply with the norms of Good Clinical Practice (GCPs) for conducting, recording, and reporting the results of clinical studies to assure that data and reported results are credible, reproducible, and accurate and that the rights, integrity, and confidentiality of study participants are protected. We also are required to register ongoing clinical studies and post the results of completed clinical studies on a government-sponsored database within certain timeframes. Failure to do so can result in fines, adverse publicity, and civil and criminal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our third-party vendors do not successfully carry out their contractual duties, meet expected deadlines, or conduct studies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product candidates. For example, one of our vendors in the past failed to fully comply with certain Good Laboratory Practice (GLP) norms in its research facility, which required us to repeat a lab study at a different research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also rely on other third parties to label, store and distribute drug supplies for our clinical studies. Any performance failure on the part of our distributors, including with the shipment of any drug supplies, could delay clinical development or marketing approval of any product candidates we may develop or commercialization of our product candidates, producing additional losses and depriving us of potential product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not be successful in our efforts to expand our technology or product candidates in other indications.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Until 2025, our drug development strategy has been focused on clinically testing our product candidates in Alzheimer’s disease. We are now expanding our research efforts into other areas of clinical medicine based on a variety of factors, with an initial focus on TSC-related epilepsy. We are currently subject to a full clinical hold. If we are successful in our efforts to have the clinical hold lifted, we intend to conduct a proof-of-concept clinical study to better understand simufilam’s potential as a treatment for TSC-related epilepsy. Conducting clinical studies for additional indications for our product candidates will require substantial technical, financial and human resources and is prone to the inherent risks of failure in drug development. We cannot provide any assurance that we will be successful in our effort to expand our technology or our product candidates in additional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successfully identify and develop additional product candidates, our commercial opportunity will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Identifying, developing, obtaining regulatory approval for, and commercializing additional product candidates requires substantial expertise and funding and is prone to the risks of failure inherent in drug development. We cannot provide any assurance that we will be able to successfully identify or acquire additional product candidates, advance any additional product candidates through the development process, or assemble sufficient resources to identify, acquire, or develop additional product candidates. If we are unable to successfully identify, acquire, develop, and commercialize additional product candidates, our commercial opportunity may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clinical studies may fail to demonstrate substantial evidence of the safety and efficacy of our product candidates and may suffer from improper or inadequate study design or enrollment criteria, which would prevent, delay, or limit the scope of regulatory approval and commercialization.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Before obtaining regulatory approvals for any of our product candidates, we must demonstrate through lengthy, complex, and expensive preclinical experiments and clinical studies that our product candidates are both safe and effective for use in an intended population. Each product candidate must demonstrate an adequate risk versus benefit profile in its intended patient population and for its intended use, as determined by the FDA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New drug discovery, development and commercialization involves a high degree of risk. The process is expensive and complex and can take many years to complete, and its outcome is inherently uncertain. It can take over 10 to 15 years and cost over $1 to $2 billion for each new drug candidate to achieve regulatory approval. Only a small number of research and development programs achieve regulatory approval and subsequent commercialization of a drug product. We believe that in recent decades about 90 to 95% of novel drug candidates under development by the biopharmaceutical industry have failed to achieve regulatory approval and subsequent commercialization. Failure can occur at any time during the drug discovery and development process and such failures may be due to lack of clinical efficacy, adverse safety profile, regulatory hurdles, excessive costs, lack of perceived market opportunity, lack of resources, insufficient reimbursement from insurers, inability to compete or for other reasons. Many biopharmaceutical companies have suffered significant setbacks in Phase 3 clinical trials due to lack of efficacy or adverse safety profiles, notwithstanding promising results in earlier trials. Seasoned professionals with a prior track record of innovation in drug discovery and development, as well as substantial business expertise, routinely fail to achieve regulatory approval of new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results of our preclinical studies with our product candidates may not be predictive of the results of early-stage or later-stage clinical studies, and results of early clinical studies of our product candidates may not be predictive of the results of later-stage clinical studies. The results of clinical studies in one set of patients or disease indications may not be predictive of those obtained in another. In some instances, 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dosing regimen, and other clinical study protocols and the rate of dropout among clinical study participants. Product candidates in later stages of clinical studies may fail to show the desired safety and efficacy profile despite having progressed through preclinical studies and initial clinical studies. Most new product candidates for central nervous system disorders that begin clinical studies are never approved by regulatory authorities for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clinical trials may suffer from improper or inadequate study design or enrollment criteria. We have limited experience in designing clinical studies in neurodegeneration and may be unable to design and execute a clinical study to support marketing approval. We cannot be certain that our current clinical studies or any other future clinical studies will be successful. Additionally, any safety concerns observed in any one of our clinical studies in our targeted indications could limit the prospects for regulatory approval of our product candidates in those and other indications,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even if such clinical studies are successfully completed, we cannot guarantee that FDA or foreign regulatory authorities will interpret the results as we do, and more studies could be required before we submit our product candidates for approval. To the extent that the results of the studies are not satisfactory to FDA or foreign regulatory authorities for support of a marketing application, we may be required to expend significant resources, which may not be available to us, to conduct additional studies in support of potential approval of our product candidates. Even if regulatory approval is secured for any of our product candidates, the terms of such approval may limit the scope and use of our product candidates, which may also limit its commercial potential.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market opportunities for simufilam, if approved, may be smaller than we anticipate.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our clinical development programs succeed with respect to simufilam for a particular indication, we would expect to seek regulatory approval of simufilam for such indication. Projections that we calculate as to the number of patients with the indications that we are studying are based on our beliefs and estimates, derived from a variety of outside sources, including scientific literature, patient foundations and market research. Our projections may prove to be incorrect. The actual number of patients for a particular indication may turn out to be lower than expected. Additionally, the potential patient population for our current programs or future product candidates may be limited. Even if we obtain regulatory approval and capture significant market share for any product candidate, the potential target populations may be smaller than anticipated, and we may never achieve profitability without obtaining marketing approval for additional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face significant competition in an environment of rapid technological and scientific change, and there is a possibility that additional competitors may achieve regulatory approval before us or develop therapies that are safer, more advanced, or more effective than ours, any of which may harm our business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Drug discovery and development is highly competitive. Moreover, the central nervous system disorders field is characterized by intense and increasing competition, and a strong emphasis on intellectual property. We may face competition with respect to any of our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Several pharmaceutical and biotechnology companies are currently pursuing the development of products for the treatment of central nervous system disorders, including TSC-related epilepsy. Many of these current or potential competitors, either alone or with their strategic partners, have significantly greater financial resources and expertise in research and development, manufacturing, preclinical testing, conducting clinical studies, obtaining regulatory approvals, and marketing approved products than we do.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commercial opportunity could be reduced or eliminated if other competitors develop and commercialize products that are safer, are more effective, have fewer or less severe side effects, are more convenient, achieve greater acceptance among physicians and patients, or are less expensive than any products that we may develop. Furthermore, currently approved products could be discovered to have application for treatment of neurodegenerative disease indications, which could give such products significant advantages over any of our product candidates. Competitors may also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 and Other Legal Compliance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financial condition and operating results could be adversely impacted by unfavorable results of legal proceedings, government investigations or allegations and other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and may in the future be, subject to various investigations and 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 recent years, there has been a trend of increasing government investigations, legal proceedings and law enforcement activities against companies, executives and others operating in our industry, including those arising from whistleblower programs operated by the SEC and DOJ and the </w:t>
      </w:r>
      <w:r>
        <w:rPr>
          <w:rFonts w:ascii="Times New Roman" w:hAnsi="Times New Roman"/>
          <w:i/>
          <w:caps w:val="false"/>
          <w:smallCaps w:val="false"/>
          <w:sz w:val="20"/>
        </w:rPr>
        <w:t>qui tam</w:t>
      </w:r>
      <w:r>
        <w:rPr>
          <w:rFonts w:ascii="Times New Roman" w:hAnsi="Times New Roman"/>
          <w:caps w:val="false"/>
          <w:smallCaps w:val="false"/>
          <w:sz w:val="20"/>
        </w:rPr>
        <w:t xml:space="preserve"> provisions of the False Claims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currently managing civil claims under federal and state laws, relating to and/or arising out of research and development of our product candidates, including securities disclosures and other aspects of our business. For additional information regarding legal proceedings, see “Notes to Consolidated Financial Statements—Contingencies”.  New claims or inquiries may arise in the future.</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response to such legal proceedings, we have established a comprehensive document retention policy that strictly governs how we handle, store and protect our documents and data. Failure to comply with our document retention policy would expose us to risk of enforcement actions and penalties under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Legal proceedings are inherently unpredictable, and large judgments or penalties sometimes occur. As a consequence, we may in the future incur judgments or penalties that could involve large cash payments, including the potential repayment of amounts allegedly obtained improperly and other penalties, including enhanced damages. For example, the Company paid a civil monetary penalty of $40 million in November 2024 as part of a settlement with the SEC resolving the SEC investigation of the Company’s disclosures regarding its Phase 2b Study and related matters. In addition, the Company has recently agreed to pay $31.25 million to settle certain securities litigation. While we maintain insurance coverage for certain types of claims, such insurance coverage may be insufficient to cover all losses or all types of claims that may arise.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such proceedings against us or against third parties with whom we collaborate or otherwise do business may affect our reputation, inhibit our ability to raise fund in the capital markets, create a risk of potential exclusion from government reimbursement or grant programs and may lead to additional civil litigation. Even meritless claims could subject us to adverse publicity, hinder us from securing insurance coverage in the future or require us to incur significant legal costs. As a result, having taken into account all relevant factors, we may in the future enter into settlements of such claims without bringing them to final legal adjudication by courts or other such bodies, despite having potentially significant defenses against them, in order to limit the risks they pose to our business and reputation. Such settlements may require us to pay significant sums of money and to enter into corporate integrity or similar agreements intended to regulate company behavior for a period of years, which can be costly to operate 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a result, significant claims or legal proceedings to which we are a party, any judgments or settlements against us or involving third parties associated with us relating to such claims or proceedings, and any accruals that we may take with respect to potential judgments or settlements, could have a material adverse impact on our business, financial condition or results of operations, as well as on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Additional future litigation involving us could be costly and time-consuming to defend.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Innovative drug development is highly litigious, and we may, from time to time, become subject to or involved in additional legal proceedings, claims and allegations that arise in the ordinary course of business or pursuant to governmental or regulatory enforcement activity. Regardless of merit, any lawsuits against or involving us, individually or in the aggregate, may have a material adverse effect on our business, financial condition, results of operations or cash flows. In addition, any litigation to which we subsequently become a party might result in substantial costs and divert management's attention, time and resources, which might seriously harm our business, financial condition, results of operations and cash flows. Our insurance policies might not cover such claims, might not provide sufficient payments to cover all of the costs to resolve one or more such claims, and might not continue to be available on terms acceptable to us. In particular, any claim could result in potential liability for us if the claim is outside the scope of the indemnification agreement we have with our third-party partners, or our third-party partners do not abide by the indemnification agreement as required, or the liability exceeds the amount of any applicable indemnification limits or available insurance coverage. A claim brought against us that is uninsured or underinsured could result in unanticipated costs and could have a material adverse effect on our financial condition, results of operations, cash flows or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are ultimately unable to file for and obtain regulatory approval for our product candidates, we will be unable to generate product revenue, and our business will be substantially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time required to obtain approval by FDA and comparable foreign regulatory authorities is unpredictable, typically takes many years following the commencement of clinical studies,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obtained regulatory approval for any product candidate and it is possible that none of our existing product candidates or any product candidates we may seek to develop in the future will ever obtain regulatory approval.</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Applications for our product candidates could fail to receive regulatory approval in an initial or subsequent indication for many reasons, including but not limited to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or comparable foreign regulatory authorities may disagree with the design, implementation, or results of our clinical studies;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population studied in the clinical program may not be sufficiently broad or representative to assure efficacy and safety in the full population for which we seek approval;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be unable to demonstrate to FDA or comparable foreign regulatory authorities that a product candidate’s risk-benefit ratio when compared to the standard of care is acceptable;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or comparable foreign regulatory authorities may disagree with our interpretation of data from preclinical studies or clinical studies;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data collected from clinical studies of our product candidates may not be sufficient to support the submission of a new drug application (NDA), or other submission or to obtain regulatory approval in the United States or elsewhere;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or comparable foreign regulatory authorities may fail to approve the manufacturing processes, test procedures, and specifications, or facilities of third-party manufacturers with which we contract for clinical and commercial supplies;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approval policies or regulations of FDA or comparable foreign regulatory authorities may significantly change in a manner rendering our clinical data insufficient for approval.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lengthy approval process, as well as the unpredictability of the results of clinical studies, may result in our failing to obtain regulatory approval to market any of our product candidates, which would significantly harm our business,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Our application to register our new corporate name as a trademark may be denied, which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applied to register our new corporate name, Filana Therapeutics, as a trademark, but there can be no assurance that the United States Patent and Trademark Office (USPTO) will approve the application. If registration is denied, we may be unable to obtain the scope of trademark protection we desire for our corporate name, which could limit our ability to prevent third parties from using confusingly similar names or marks. A denial could also require us to incur additional costs to pursue alternative branding strategies, enforce unregistered rights, or consider further changes to our corporate name or branding, any of which could adversely affect our business, results of operations, or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ability to market and promote our product candidates will be determined and limited by FDA-approved labeling.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commercial success of our product candidates will depend upon our ability to obtain FDA-approved labeling effectively describing their features. If a product receives regulatory approval, the approval may be significantly limited to specific disease stages, patient populations and dosages, or the indications for use may otherwise be limited, which could restrict the availability of the product. Further, the FDA may require that certain contraindications, warnings or precautions be included in the product labeling or may condition the approval of the NDA on other changes to the proposed labeling or a commitment to conduct one or more post-market studies or clinical trials. For example, the FDA may require Phase 4 testing which involves clinical trials designed to further assess a drug’s safety and 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failure to achieve FDA approval of product labeling containing appropriate information will prevent us from advertising and promoting the key features of our product candidates in order to differentiate them from other similar products. On the other hand, limitations required by the FDA for the product labeling of our product candidates may restrict the patient populations to which our product candidate is available. Either of these results would make our products less competitive in the market the commercial value of the product.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The FDA may change the statutory requirements for drug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FDA Guidances for Industry are non-binding policy documents that are issued by FDA from time to time to assist sponsors, such as our Company, with the clinical development of drug candidates. Even though such guidance documents do not set legal standards or impose binding requirements they are nonetheless broadly followed by sponsors, including us. In addition, sponsors who adhere in good faith with earlier guidance documents have no assurance or recourse against enforcement actions if the guidance documents are later replaced with conflicting guidance. We have relied heavily on current FDA guidance and meetings with the FDA to advance simufilam through the drug development process. Any future changes to existing FDA Guidance for Industry for indications that we are pursuing may have a material adverse effect on our business, may add significant time, cost or complexity to our drug development program for simufilam, or could cause us to cease or delay development of some or all our product candidates.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changes in FDA regulations, statutes or the interpretation of existing regulations and statutes could impact our business by requiring, for example: (i) changes to our manufacturing arrangements for simufilam; (ii) additions or modifications to product labeling, if and when our product candidates are approved for sale; (iii) the recall or discontinuation of our product candidates from investigational clinical sites; or (iv) additional record-keeping requirements. If any such changes were to be imposed, they may have a material adverse effect on our business, may add significant time, cost or complexity to our drug development program for simufilam, or could cause us to cease or delay development of some or all our product candidates.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employees, independent contractors, consultants, commercial partners, and vendors may engage in misconduct or other improper activities, including noncompliance with regulatory standards and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exposed to the risk of fraud, misconduct, or other illegal activity by our employees, independent contractors, consultants, commercial partners, and vendors. Misconduct by these parties could include intentional, reckless, and negligent conduct that fails to:</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comply with the laws of FDA and other comparable foreign regulatory authorities;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provide true, complete, and accurate information to FDA and other comparable foreign regulatory authorities;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comply with manufacturing standards we have established;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comply with healthcare fraud and abuse laws in the U.S. and similar foreign fraudulent misconduct laws;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left"/>
              <w:rPr/>
            </w:pPr>
            <w:r>
              <w:rPr/>
              <w:t>comply with laws governing the improper use of information obtained in the course of patient recruitment for clinical studies;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report financial or clinical information or data accurately or to disclose unauthorized activities to us; 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otherwise comply with applicable criminal, civil or regulatory laws governing their conduct.</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If any such actions are instituted against us, and we are not successful in defending ourselves or asserting our rights, those actions could have a significant impact on our business, including reputational damage and the imposition of significant fines or other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fail to comply or stay in compliance with the complex set of federal, state, local and foreign laws and regulations that apply to our business, we could suffer severe consequences that could materially and adversely affect our operating results and financial condition.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obligated to comply with the laws of all countries and jurisdictions in which we operate. These laws cover an extremely wide and growing range of activities. Such legal requirements can vary from country to country, and new requirements may be imposed on us from time to time as government and public expectations regarding acceptable corporate behavior change, and enforcement authorities modify interpretations of legal and regulatory provisions and change enforcement priorities. In addition, we rely on numerous associates, independent contractors, consultants, commercial partners and vendors who may put our reputation, business and operations at risk of material impairment if they engage, or are alleged to engage, in misconduct or other improper activities, including noncompliance with regulatory standards and requirements, in violation of such laws and public expectations.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laws and regulations that govern our operations include, among others: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Clinical Laboratory Improvement Amendments (CLIA) of 1988, which are United States federal regulatory standards that apply to all clinical laboratory testing performed on humans in the United States, requires that laboratories obtain certification from the federal government, and state licensure laws;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laws and regulations , including those relating to off-label marketing;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Health Insurance Portability and Accountability Act (HIPAA), which imposes comprehensive federal standards with respect to the privacy and security of protected health information and requirements for the use of certain standardized electronic transactions, including penalties for violators, enforcement authority to state attorneys general and requirements for breach notification;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state laws regulating testing and protecting the privacy of test results, as well as state laws protecting the privacy and security of health information and personal data and mandating reporting of breaches to affected individuals and state regulators;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 care program;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federal False Claims Act (FCA), which imposes liability on any person or entity that, among other things, knowingly presents, or causes to be presented, a false or fraudulent claim for payment to the federal government and which, under its </w:t>
            </w:r>
            <w:r>
              <w:rPr>
                <w:rFonts w:ascii="Times New Roman;Times;serif" w:hAnsi="Times New Roman;Times;serif"/>
                <w:i/>
                <w:sz w:val="20"/>
              </w:rPr>
              <w:t>qui tam</w:t>
            </w:r>
            <w:r>
              <w:rPr>
                <w:rFonts w:ascii="Times New Roman;Times;serif" w:hAnsi="Times New Roman;Times;serif"/>
                <w:sz w:val="20"/>
              </w:rPr>
              <w:t xml:space="preserve"> provisions, allows private litigants (relators) to file claims under seal on behalf of the government and to receive a percentage of recoveries obtained as a result;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federal and state fraud and abuse laws, such as anti-kickback laws, prohibitions on self-referral, and false claims acts, which may extend to services reimbursable by any third-party payor, including private insurers;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Foreign Corrupt Practices Act (FCPA) and other worldwide anti-bribery laws, including those that prohibit companies and their intermediaries from making improper payments to government officials or other third parties for the purpose of obtaining or retaining business, and laws that prohibit commercial bribery;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import, export control and economic sanctions laws and regulations in the U.S. and elsewhere;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Federal securities laws, including provisions of the Exchange Act and Dodd-Frank Act under which whistleblowers that report alleged violations of wrongdoing can obtain up to 30% of related recoveries;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federal Physician Payments Sunshine Act, which requires manufacturers to track and report to the federal government certain payments and other transfers of value made to physicians and teaching hospitals and ownership or investment interests held by physicians and their immediate family members;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 216 of the federal Protecting Access to Medicare Act of 2014 (PAMA), which requires applicable laboratories to report private payer data in a timely and accurate manner every three years (and in some cases annually);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state laws that impose reporting and other compliance-related requirements;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similar foreign laws and regulations that will apply to us in foreign countries in which we may choose to operate in the future.</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Government agencies may establish and promulgate usage guidelines that could limit the use of our product candidates.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Government agencies, professional and medical societies, and other groups may establish usage guidelines that apply to our product candidates. These guidelines could address such matters as usage and dose, among other factors. Application of such guidelines could limit the clinical use or commercial appeal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product candidates may cause undesirable side effects or have other properties that could halt their clinical development, prevent their regulatory approval, limit their commercial potential, or result in significant negative consequences.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conduct of clinical trials, study participants report changes in their health to their doctor, including illnesses, injuries and discomforts. Often, it is not possible to determine whether our product candidate caused these conditions. Regulatory authorities may draw different conclusions and may require us to pause our clinical trials or require additional testing to confirm these determinations, if they occur. In addition, we have not yet completed long-term safety studies with simufilam to determine if this product candidate is safe for humans. Adverse events or other undesirable side effects caused by simufilam could cause us or regulatory authorities to interrupt, delay, or halt clinical studies and could result in a more restrictive label or the delay or denial of regulatory approval by FDA or other comparable foreign regulatory authorities. Drug-related side effects could affect patient recruitment, the ability of enrolled patients to complete the study, and/or result in potential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legal liability associated with clinical trials.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business requires us to engage in the conduct of clinical studies in human volunteers and in patients in the United States and abroad. There are circumstances under which a participant in one of our clinical trials could impose liability on us. For example, a clinical investigator who is a participant in one of our studies may intentionally or unintentionally deviate from a clinical protocol and cause harm to a clinical trial participant, or a clinical trial participant may seek to compel us to continue to supply drug to them after the completion of a study but prior to FDA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Claims may be brought against us for negligence, breach of contract, harm, injury or death, or other legal theories based on the nature of a study. Clinical trial liability is a complex and somewhat unsettled area of law and may vary by state and by country where we conduct clinical studies. Furthermore, claims may be brought against us by a clinical investigator, a clinical trial participant, or another party associated with a clinical study, long after the completion of a clinical study. Defense of such actions is a fact-intensive process that could be costly and involve significant time and attention of our management and other resources, may result in monetary liabilities or penalties, and may require us to change our business in an adverse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insurance policies may be inadequate and potentially expose us to unrecoverable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Although we maintain product liability insurance coverage, such insurance may not be adequate to cover all liabilities that we may incur. We anticipate that we may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Conditions in the insurance markets relating to nearly all areas of traditional corporate insurance change rapidly and may result in higher premium costs, higher policy deductibles and lower coverage limits. For some risks, we may not have or maintain insurance coverage because of cost or availability.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and will be required to maintain product liability insurance pursuant to certain of our development and commercialization agreements. We may not be able to maintain insurance coverage at a reasonable cost or in sufficient amounts to protect us against losses due to liability. A successful product liability claim or series of claims brought against us could adversely affect our results of operations, business, and reputation.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If our product candidates receive regulatory approval, we and our collaborators will be subject to ongoing FDA obligations and continued regulatory review, such as continued safety reporting requirements, and we and our collaborators may also be subject to additional FDA post-marketing obligations or new regulations, all of which may result in significant expense and limit our and our collaborators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ability to commercialize our potential drugs.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regulatory approvals that our product candidates receive may also be subject to limitations on the indicated uses for which the drug may be marketed or contain requirements for potentially costly post-marketing follow-up studies. In addition, if FDA approves any of our product candidates, the labeling, packaging, adverse event reporting, storage, advertising, promotion and record keeping for the drug will be subject to extensive regulatory requirements. The subsequent discovery of previously unknown problems with the drug, including but not limited to adverse events of unanticipated severity or frequency, or the discovery that adverse events previously observed in preclinical research or clinical studies that were believed to be minor actually constitute much more serious problems, may result in restrictions on the marketing of the drug, and could include withdrawal of the drug from the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FDA’s policies may change, and additional government regulations may be enacted that could prevent or delay regulatory approval of our product candidates. We cannot predict the likelihood, nature or extent of adverse government regulation that may arise from future legislation or administrative action, either in the U.S. or abroad. If we are not able to maintain regulatory compliance, we may be subject to fines, suspension or withdrawal of regulatory approvals, product recalls, seizure of products, operating restrictions and criminal prosecution. Any of these events could prevent us from marketing our products and our business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Enacted and future legislation may increase the difficulty and cost for us to commercialize our product candidates and may reduce the prices we are able to obtain for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Legislative and regulatory changes and future changes regarding the healthcare system could prevent or delay marketing approval of our product candidates, restrict or regulate post-approval activities or affect our ability to profitably sell any product candidates for which we obtain marketing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U.S., the Medicare Prescription Drug, Improvement, and Modernization Act of 2003 (the “Medicare Modernization Act”) established the Medicare Part D program and provided authority for limiting the number of drugs that will be covered in any therapeutic class thereunder. The Medicare Modernization Act, including its cost reduction initiatives, could limit the coverage and reimbursement rate that we receive for any of our approved products. Private payors may follow Medicare coverage policies and payment limitations in setting their own reimbursement rates resulting in similar limits in payments from private payors.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Patient Protection and Affordable Care Act, as amended by the Health Care and Education Reconciliation Act, or collectively, the Affordable Care Act, among other things, imposes a significant annual fee on companies that manufacture or import branded prescription product candidates. It also contains substantial provisions intended to, among other things, broaden access to health insurance, reduce or constrain the growth of health care spending, enhance remedies against healthcare fraud and abuse, add new transparency requirements for the healthcare and health insurance industries, and impose additional health policy reforms, any of which could have a material adverse effect on our business. A significant number of provisions are not yet, or have only recently become, effective, but the Affordable Care Act may result in downward pressure on pharmaceutical pricing, especially under the Medicare program, and may also increase our regulatory burdens and operating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Affordable Care Act, as well as other healthcare reform measures that have been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compromise our ability to generate revenue, attain profitability or commercialize our products. The Affordable Care Act is a highly complex piece of legislation that continues to evolve. We do not and cannot understand or anticipate the full impact and potential implications of the Affordable Care Act on our business or on our drugs.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purported goal of the Inflation Reduction Act (IRA) of 2022 is to lower healthcare costs for Americans, and includes several provisions aimed at reducing drug spending and increasing access to pharmaceuticals. Specifically, the IRA introduces drug-price negotiations by requiring the federal government to negotiate “maximum fair prices” with drug manufacturers for certain brand-name, single-source drugs covered under Medicare Part B and Part D. In addition, the IRA penalizes price increases and expands required discounts on branded, single-source drugs. The IRA is a highly complex piece of legislation that continues to evolve. We do not and cannot understand or anticipate the full impact and potential implications of the IRA on our business or on our drugs, however, we currently believe the IRA may reduce the prices we are able to obtain for our product candidates, if approved in the United States.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relationships with customers and payors will be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Healthcare providers, physicians and payors play a primary role in the recommendation and prescription of any product candidates for which we may obtain marketing approval. Our current or future arrangements with payors and customers may expose us to broadly applicable fraud and abuse and other healthcare laws and regulations that may constrain the business or financial arrangements and relationships through which we market, sell and distribute any product candidates for which we may obtain marketing approval.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state and foreign healthcare laws and regulations may affect our ability to operate and expose us to areas of risk, including: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federal Anti-Kickback Statute, which prohibits, among other things,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HIPAA, which imposes criminal and civil liability for executing a scheme to defraud any healthcare benefit program or making false statements relating to healthcare matters. Similar to the federal Anti-Kickback Statute, a person or entity does not need to have actual knowledge of the statute to defraud any healthcare benefit program or specific intent to violate it in order to have committed a violation;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federal laws requiring drug manufacturers to report information related to payments and other transfers of value made to physicians and other healthcare providers, as well as ownership or investment interests held by physicians and their immediate family members, including under the federal Open Payments program, commonly known as the Sunshine Act, as well as other state and foreign laws regulating marketing activities;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state and foreign equivalents of each of the above laws, including state anti-kickback and false claims laws, which may apply to sales or marketing arrangements and claims involving healthcare items or services reimbursed by non-governmental payors, including private insurers; state laws which require pharmaceutical companies to comply with the pharmaceutical industry's voluntary compliance guidelines and the relevant compliance guidance promulgated by the federal government or otherwise restricting payments that may be made to healthcare providers; and state and foreign laws governing the privacy and security of health information in certain circumstances, many of which differ from each other in significant ways and often are not preempted by HIPAA, thus complicating compliance efforts.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Efforts to ensure that our business arrangements with third parties will comply with applicable healthcare laws and regulations will involve substantial costs. Nonetheless,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participation in government funded healthcare programs, such as Medicare and Medicaid, and the curtailment or restructuring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Our Intellectual Property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obtain and maintain sufficient patent protection for any product candidates, our competitors could develop and commercialize products similar or identical to ours, and our ability to successfully commercialize any product candidates we may develop may be adversely affected.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success depends in large part on our ability to obtain and maintain patent protection in the U.S. and other countries with respect to our proprietary product candidates and other technologies we may develop. We seek to protect our proprietary position by filing patent applications in the U.S. and abroad relating to our core programs and product candidates, as well as other technologies that are important to our business. Given that our product candidates are in early or clinical stages of development, our intellectual property portfolio with respect to certain aspects of our product candidates is also at an early stage. We have filed or intend to file patent applications on aspects of our technology and core product candidates; however, there can be no assurance that any such patent applications will issue as granted patents. Furthermore, in some cases, we intend to file only provisional patent applications on certain aspects of our technology and product candidates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Furthermore, in some cases, we may not be able to obtain issued claims covering compositions relating to our core programs and product candidates, as well as other technologies that are important to our business, and instead may need to rely on filing patent applications with claims covering a method of use and/or method of manufacture for protection of such core programs,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core programs and product candidates could have a material adverse effect on our business, financial condition, results of operations, and growth prospects.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Issued patents covering our product candidates and other technologies could be found invalid or unenforceable if challenged in court or before administrative bodies in the U.S. or abroad.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If we initiated legal proceedings against a third party to enforce a patent covering our product candidates or other technologies, the defendant could counterclaim that the asserted patent is invalid or unenforceable. In patent litigation in the U.S. and in other jurisdictions,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our patents before administrative bodies in the U.S. or abroad, even outside the context of litigation. Such mechanisms include re-examination, post-grant review, </w:t>
      </w:r>
      <w:r>
        <w:rPr>
          <w:rFonts w:ascii="Times New Roman" w:hAnsi="Times New Roman"/>
          <w:i/>
          <w:caps w:val="false"/>
          <w:smallCaps w:val="false"/>
          <w:sz w:val="20"/>
        </w:rPr>
        <w:t>inter partes</w:t>
      </w:r>
      <w:r>
        <w:rPr>
          <w:rFonts w:ascii="Times New Roman" w:hAnsi="Times New Roman"/>
          <w:caps w:val="false"/>
          <w:smallCaps w:val="false"/>
          <w:sz w:val="20"/>
        </w:rPr>
        <w:t xml:space="preserve"> review, interference proceedings, derivation proceedings, and equivalent proceedings in foreign jurisdictions (e.g., opposition proceedings). Such proceedings could result in the revocation of, cancellation of, or amendment to our patents in such a way that they no longer cover our product candidates or other technologies.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or other technologies. Such a loss of patent protection would have a material adverse impact on our business, financial condition, results of operations, and growth prospects.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do not obtain patent term extension and data exclusivity for any product candidates we may develop, our business may be materially harmed.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(Hatch-Waxman Act). The Hatch-Waxman Act permits a patent term extension of up to five years as compensation for patent term lost during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the confidentiality of our trade secrets, our business and competitive position would be harmed.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to seeking patents for our product candidates and other technologies, we also rely on trade secrets and confidentiality agreements to protect our unpatented know-how, technology, and other proprietary information and to maintain our competitive position. We consider trade secrets and know-how to be one of our primary sources of intellectual property. Trade secrets and know-how can be difficult to protect. We expect our trade secrets and know-how to over time be disseminated within the industry through independent development, the publication of journal articles describing the methodology, and the movement of personnel from academic to industry scientific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seek to protect these trade secrets and other proprietary technology, in part, by entering into non-disclosure and confidentiality agreements with parties who have access to them, such as our employees, corporate collaborators, outside scientific collaborators, CROs, CDMOs,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any of our patent applications do not issue as patents in any jurisdiction, we may not be able to compete effectively.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patents with respect to our product candidates. With respect to our intellectual property related to our product candidates, we cannot predict whether the patent applications we are currently pursuing will issue as patents in any particular jurisdiction or whether the claims of any issued patents will provide sufficient protection from competitors or other third parties.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patent prosecution process is expensive, time-consuming, and complex, and we may not be able to file, prosecute, maintain, or enforce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outside scientific collaborators, CROs, CDMOs,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the scope of any patent protection we obtain is not sufficiently broad, or if we lose any of our patent protection, our ability to prevent our competitors from commercializing similar or identical technology and product candidates would be adversely affected.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other technologies or which effectively prevent others from commercializing competitive technologies and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Moreover, the coverage claimed in a patent application can be significantly reduced before the patent is issued, and its scope can be reinterpreted after issuance. Even if patent applications we own currently or in the future issue as patents, they may not issue in a form that will provide us with any meaningful protection, prevent competitors or other third parties from competing with us, or otherwise provide us with any competitive advantage. Any patents to which we have rights may be challenged, narrowed, circumvented, or invalidated by third parties. Consequently, we do not know whether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The issuance of a patent is not conclusive as to its inventorship, scope, validity, or enforceability, and our patents may be challenged in the courts or patent offices in the U.S. and abroad. We may be subject to a third-party pre-issuance submission of prior art to the USPTO or become involved in opposition, derivation, revocation, reexamination, post-grant and </w:t>
      </w:r>
      <w:r>
        <w:rPr>
          <w:rFonts w:ascii="Times New Roman" w:hAnsi="Times New Roman"/>
          <w:i/>
          <w:caps w:val="false"/>
          <w:smallCaps w:val="false"/>
          <w:sz w:val="20"/>
        </w:rPr>
        <w:t xml:space="preserve">inter partes </w:t>
      </w:r>
      <w:r>
        <w:rPr>
          <w:rFonts w:ascii="Times New Roman" w:hAnsi="Times New Roman"/>
          <w:caps w:val="false"/>
          <w:smallCaps w:val="false"/>
          <w:sz w:val="20"/>
        </w:rPr>
        <w:t>review,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priority of invention or other features of patentability with respect to our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and other technologies. 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protect our intellectual property and proprietary rights throughout the world.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our product candidates and other technologies in all countries throughout the world would be prohibitively expensive, and the laws of foreign countries may not protect our rights to the same extent as the laws of the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Periodic maintenance fees, renewal fees, annuity fees, and various other government fees on patents and applications will be due to be paid to the USPTO and various government patent agencies outside of the U.S.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Changes in U.S. patent law could diminish the value of patents in general, thereby impairing our ability to protect our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Changes in either the patent laws or interpretation of the patent laws in the U.S. could increase the uncertainties and costs surrounding the prosecution of patent applications and the enforcement or defense of issued patents.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America Invents Act (the “America Invents Act”) enacted in September 2011, the U.S.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Since patent applications in the U.S. and most other countries are confidential for a period of time after filing or until issuance, we cannot be certain that we were the first to either (i) file any patent application related to our product candidates or other technologies or (ii) invent any of the inventions claimed in our patents or patent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The America Invents Act also significantly affects the way patent applications are prosecuted and as well as patent litigation. This includes allowing third party submission of prior art to the USPTO during patent prosecution and additional procedures to attack the validity of a patent by USPTO administered post-grant proceedings, including post-grant review, </w:t>
      </w:r>
      <w:r>
        <w:rPr>
          <w:rFonts w:ascii="Times New Roman" w:hAnsi="Times New Roman"/>
          <w:i/>
          <w:caps w:val="false"/>
          <w:smallCaps w:val="false"/>
          <w:sz w:val="20"/>
        </w:rPr>
        <w:t>inter partes</w:t>
      </w:r>
      <w:r>
        <w:rPr>
          <w:rFonts w:ascii="Times New Roman" w:hAnsi="Times New Roman"/>
          <w:caps w:val="false"/>
          <w:smallCaps w:val="false"/>
          <w:sz w:val="20"/>
        </w:rPr>
        <w:t xml:space="preserve"> review, and derivation proceedings. Because of a lower evidentiary standard in USPTO proceedings as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the patent positions of companies in the development and commercialization of pharmaceuticals are particularly uncertain. Various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claims challenging the inventorship of our patents and other intellectual property.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be subject to claims that former employees, scientific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or other technologies. Litigation may be necessary to defend against these and other claims challenging inventorship or ownership of our patents, trade secrets, or other intellectual property. If the defense of any such claims fails, in addition to paying monetary damages, we may lose valuable intellectual property rights,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not be successful in obtaining necessary rights to our product candidates or other technologies.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Many pharmaceutical companies, biotechnology companies, and academic institutions that compete with us in the field of neurodegeneration therapy may have patents filed and are likely filing patent applications potentially relevant to our business. In order to avoid infringing these third-party patents, we may find it necessary or prudent to obtain licenses to such patents from such third-party intellectual property holders. We may also require licenses from third parties for certain technologies for use with future product candidates. In addition, with respect to any patents we co-own with third parties, we may wish to obtain licenses to such co-owner’s interest to such patents. However, we may be unable to secure such licenses or otherwise acquire any compositions, methods of use, processes, or other intellectual property rights from third parties that we identify as necessary for our future product candidates.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expansion into additional indications may face challenges if we are unable to obtain additional intellectual property rights that may be necessary or desirable.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leverage our scientific insights in neurodegeneration and neuroinflammation and advanced tools in molecular biology, biochemistry, and imaging to expand our science to other diseases, initially focusing on central nervous system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While we expect certain of our existing intellectual property, such as our patents covering the composition of matter of our drug simufilam, to be important for any such expansion, in order to expand our science to other diseases, for some indications, it may be necessary or desirable that we procure additional intellectual property to support new development programs. In the absence of such additional intellectual property rights, product candidates that we may develop for such additional indications may not be sufficiently covered by intellectual property or such product candidates may be challenged by third parties possessing other intellectual property or exclusive rights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currently subject to a full clinical hold. If we are successful in our efforts to have the clinical hold lifted, we intend to conduct a proof-of-concept clinical study to better understand simufilam’s potential as a treatment for TSC-related epilepsy.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February 26, 2025, we entered into the License Agreement with Yale in connection with our development and commercialization of simufilam for the treatment of TSC-related epilepsy. If we fail to comply with our obligations under the License Agreement, Yale may have the right to terminate the License Agreement, in which event we may not be able to advance our development and commercialization plans for simufilam for the treatment of TSC-related epilepsy. In addition, disagreements with Yale, including over the scope of the License Agreement, contract interpretation, or the implementation of our development plan, may cause delays or termination of development or commercialization of simufilam for the treatment of TSC-related epilepsy, or may result in time-consuming and expensive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we are unable to identify and procure intellectual property necessary or desirable for programs in other indications that we may decide to pursue in the future, it may be more challenging or, in some cases, impracticable to expand into such other indications. There can be no assurance that we will be able to obtain such intellectual property on commercially reasonable terms, or at all, which could have a material adverse effect on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claims that our employees, consultants, or advisors have wrongfully used or disclosed alleged trade secrets of their current or former employers or claims asserting ownership of what we regard as our own intellectual property which may prevent or delay the development of our product candidates.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field of developing innovations for neurodegenerative diseases is highly competitive and dynamic. Due to the focused research and development that is taking place by several companies, including us and our competitors, the intellectual property landscape in this field is in flux, and it may remain uncertain in the future. Additionally, no products utilizing our underlying science and technology have yet reached the market. As such, there may be significant intellectual property related litigation and proceedings relating to our, and other third party, intellectual property and proprietary rights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Our commercial success depends in part on our ability to develop, manufacture, market, and sell any product candidates that we develop and to use our proprietary technologies without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We may become party to, or threatened with, such actions in the future, regardless of their merit. As discussed above, recently, due to changes in U.S. law referred to as patent reform, new procedures including </w:t>
      </w:r>
      <w:r>
        <w:rPr>
          <w:rFonts w:ascii="Times New Roman" w:hAnsi="Times New Roman"/>
          <w:i/>
          <w:caps w:val="false"/>
          <w:smallCaps w:val="false"/>
          <w:sz w:val="20"/>
        </w:rPr>
        <w:t>inter partes</w:t>
      </w:r>
      <w:r>
        <w:rPr>
          <w:rFonts w:ascii="Times New Roman" w:hAnsi="Times New Roman"/>
          <w:caps w:val="false"/>
          <w:smallCaps w:val="false"/>
          <w:sz w:val="20"/>
        </w:rPr>
        <w:t xml:space="preserve"> review and post-grant review have been implemented. As stated above, this reform adds uncertainty to the possibility of challenge to our patents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Numerous U.S. and foreign issued patents and pending patent applications owned by third parties exist in the fields in which we are developing our product candidates. As the biotechnology and pharmaceutical industries expand and more patents are issued, the risk increases that our product candidates and other technologies may give rise to claims of infringement of the patent rights of others. Although we believe that we do not infringe on any third parties’ patents or other intellectual property, we cannot assure you that our product candidates and other technologies that we have developed, are developing or may develop in the future will not infringe existing or future patents owned by third parties. We may not be aware of patents that have already been issued to a third party, such as a competitor in the fields in which we are developing product candidates, who might assert infringement of patents it may hold by our current or future product candidates or other technologies, including claims to compositions, formulations, methods of manufacture or methods of use or treatment that cover our product candidates or other technologies. It is also possible that patents owned by third parties of which we are aware, but which we do not believe are relevant to our product candidates or other technologies, could be found to be infringed by our product candidates or other technologies. In addition, because patent applications can take many years to issue, there may be currently pending patent applications that may later result in issued patents that our product candidates or other technologies may infringe.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become involved in lawsuits to protect or enforce our patents and other intellectual property rights, which could be expensive, time consuming, and unsuccessful.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Competitors may infringe on our patents or the patents of our licensing partners, or we may be required to defend against claims of infringement. In addition, our patents or the patents of our licensing partners also may become involved in inventorship, priority, or validity disputes. To counter or defend against such claims can be expensive and time consuming. In an infringement proceeding, a court may decide that a patent in which we have an interest is invalid or unenforceable, the other party’s use of our patented technology falls under the safe harbor to patent infringement,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Intellectual property rights do not necessarily address all potential threats.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others may be able to make products that are similar to our product candidates or utilize similar technology but that are not covered by the claims of the patents that we may own;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might not have been the first to make the inventions covered by the issued patent or pending patent application that we own now or in the future;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might not have been the first to file patent applications covering certain of our inventions;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others may independently develop similar or alternative technologies or duplicate any of our technologies without infringing our owned intellectual property rights;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 is possible that our current or future pending patent applications will not lead to issued patents;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issued patents that we hold rights to may be held invalid or unenforceable, including as a result of legal challenges by our competitors or other third parties;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not develop additional proprietary technologies that are patentable;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patents of others may harm our business;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choose not to file a patent in order to maintain certain trade secrets or know-how, and a third party may subsequently file a patent covering such intellectual property.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Should any of these events occur, they could have a material adverse effect on our business, financial condition, results of operations, and growth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Our Business and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been and may in the future be subject to lawsuits and governmental investigations and inquiries.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360"/>
        <w:jc w:val="both"/>
        <w:rPr>
          <w:rFonts w:ascii="Times New Roman" w:hAnsi="Times New Roman"/>
          <w:caps w:val="false"/>
          <w:smallCaps w:val="false"/>
          <w:sz w:val="20"/>
        </w:rPr>
      </w:pPr>
      <w:r>
        <w:rPr>
          <w:rFonts w:ascii="Times New Roman" w:hAnsi="Times New Roman"/>
          <w:caps w:val="false"/>
          <w:smallCaps w:val="false"/>
          <w:sz w:val="20"/>
        </w:rPr>
        <w:t>We previously settled an SEC investigation, and the DOJ closed its criminal investigation without pursuing charges. Notwithstanding the resolution of these matters, government authorities retain broad discretion to reopen investigations, pursue new inquiries based on the same or similar facts, or initiate additional proceedings in the future. We cannot predict whether any such actions may occur or the scope, duration, or outcome of any future investigation. Any renewed or new investigation could result in substantial costs, diversion of management attention, reputational harm, civil or criminal penalties, or other adverse consequences, which could materially and adversely affect our business, financial condition, results of operations, or prospects.</w:t>
      </w:r>
    </w:p>
    <w:p>
      <w:pPr>
        <w:pStyle w:val="TextBody"/>
        <w:bidi w:val="0"/>
        <w:spacing w:before="0" w:after="0"/>
        <w:ind w:left="100" w:right="0" w:firstLine="360"/>
        <w:jc w:val="both"/>
        <w:rPr>
          <w:caps w:val="false"/>
          <w:smallCaps w:val="false"/>
        </w:rPr>
      </w:pPr>
      <w:r>
        <w:rPr>
          <w:caps w:val="false"/>
          <w:smallCaps w:val="false"/>
        </w:rPr>
        <w:t> </w:t>
      </w:r>
    </w:p>
    <w:p>
      <w:pPr>
        <w:pStyle w:val="TextBody"/>
        <w:bidi w:val="0"/>
        <w:spacing w:before="0" w:after="0"/>
        <w:ind w:left="100" w:right="0" w:firstLine="360"/>
        <w:jc w:val="both"/>
        <w:rPr>
          <w:rFonts w:ascii="Times New Roman" w:hAnsi="Times New Roman"/>
          <w:caps w:val="false"/>
          <w:smallCaps w:val="false"/>
          <w:sz w:val="20"/>
        </w:rPr>
      </w:pPr>
      <w:r>
        <w:rPr>
          <w:rFonts w:ascii="Times New Roman" w:hAnsi="Times New Roman"/>
          <w:caps w:val="false"/>
          <w:smallCaps w:val="false"/>
          <w:sz w:val="20"/>
        </w:rPr>
        <w:t>We also are defending ourselves in several civil lawsuits, including Anti-SLAPP, securities class action and shareholder derivative actions. The defense of these matters is expensive and time consuming and may divert the time and attention of our management away from the conduct of our primary business. Such litigation is inherently uncertain, and we cannot predict the timing, outcome, or impact of these lawsuits, including whether they will be resolved through settlement or adverse judgment. Any such resolution could involve substantial monetary damages, penalties, or other remedies, as well as reputational harm, even if we ultimately prevail. The costs associated with defending these actions, together with any unfavorable outcome, could materially and adversely affect our business, financial condition, results of operations, cash flows, and stock price. Moreover, the allegations underlying such litigation and governmental investigations have damaged our business reputation, which may make it difficult to, among other things: raise capital or engage in a strategic transaction on acceptable terms or at all; hire and retain third-party consultants and collaborators; recruit and retain patients for our studies; and attract and retain qualified executive officers, other employees and directors.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40" w:right="0" w:firstLine="360"/>
        <w:jc w:val="both"/>
        <w:rPr>
          <w:rFonts w:ascii="Times New Roman" w:hAnsi="Times New Roman"/>
          <w:caps w:val="false"/>
          <w:smallCaps w:val="false"/>
          <w:sz w:val="20"/>
        </w:rPr>
      </w:pPr>
      <w:r>
        <w:rPr>
          <w:rFonts w:ascii="Times New Roman" w:hAnsi="Times New Roman"/>
          <w:caps w:val="false"/>
          <w:smallCaps w:val="false"/>
          <w:sz w:val="20"/>
        </w:rPr>
        <w:t>As a result of current or future lawsuits, we may have to pay significant damages or amounts in settlement above insurance coverage, including amounts in respect of indemnification obligations of the Company to former officers and senior employees. An unfavorable outcome or prolonged litigation could materially and adversely impact our business, operating results, and financial condition, including our cash runway. In addition, current or future government investigations and inquiries could subject us to various sanctions, including significant penalties, our being prevented from receiving government grants, and other punitive measures. For example, the Company paid a civil monetary penalty of $40 million in November 2024 as part of a settlement with the SEC resolving the SEC investigation of the Company’s disclosures regarding its Phase 2b Study and related matters. In addition, the Company has recently agreed to pay $31.25 million to settle certain securities litigation. Such payments or settlement arrangements in current or future litigation and government investigations and inquiries could significantly and adversely impact our reputation and divert management’s attention and resources, which could have a material adverse effect on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360"/>
        <w:jc w:val="both"/>
        <w:rPr>
          <w:rFonts w:ascii="Times New Roman" w:hAnsi="Times New Roman"/>
          <w:caps w:val="false"/>
          <w:smallCaps w:val="false"/>
          <w:sz w:val="20"/>
        </w:rPr>
      </w:pPr>
      <w:r>
        <w:rPr>
          <w:rFonts w:ascii="Times New Roman" w:hAnsi="Times New Roman"/>
          <w:caps w:val="false"/>
          <w:smallCaps w:val="false"/>
          <w:sz w:val="20"/>
        </w:rPr>
        <w:t>While we cannot estimate our potential exposure to future litigation, regulatory claims, investigations or proceedings at this time, we have already incurred significant expense and expect to continue to incur significant expense in the future.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current dependence on single source suppliers for our drug substance and drug product could materially adversely affect our ability to manufacture our product candidates and materially increase our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rely on single source suppliers for materials that are critical to the manufacturing of simufilam, our lead product candidate. This reliance subjects us to risks related to our potential inability to obtain an adequate supply of required materials. If these third parties do not successfully carry out their contractual duties, meet expected deadlines or conduct their activities in accordance with regulatory requirements, or if there are disagreements between us and these third parties, we may not be able to complete, or may be delayed in completing, the clinical studies required to support future regulatory submissions and approval of the product candidates we develop. Our operating results could be materially adversely affected if we were unable to obtain adequate supplies of simufilam in a timely manner or if their cost increased significantly due to inflation or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 under certain circumstances, service providers that have contracted with us may be entitled to terminate their engagements with us. In such circumstances, product development activities could be delayed while we seek to identify, validate, and negotiate an agreement with a replacement service provider. In some such cases an appropriate replacement may not be readily available or available on acceptable terms, which could cause additional delays to our development process. It would likely result in production and delivery delays if we needed to find alternative suppliers for simufilam, which could lead to delays in our clinical trials and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Inadequate Congressional funding for the FDA, the SEC and other U.S. government agencies or comparable foreign regulatory authorities, including from government shut downs, or other disruptions to these agencies</w:t>
      </w:r>
      <w:r>
        <w:rPr>
          <w:rFonts w:ascii="Times New Roman" w:hAnsi="Times New Roman"/>
          <w:caps w:val="false"/>
          <w:smallCaps w:val="false"/>
          <w:sz w:val="20"/>
        </w:rPr>
        <w:t xml:space="preserve">’ </w:t>
      </w:r>
      <w:r>
        <w:rPr>
          <w:rFonts w:ascii="Times New Roman" w:hAnsi="Times New Roman"/>
          <w:b/>
          <w:i/>
          <w:caps w:val="false"/>
          <w:smallCaps w:val="false"/>
          <w:sz w:val="20"/>
        </w:rPr>
        <w:t>operations, could hinder these agencies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ability to hire and retain key leadership and other personnel, prevent new products and services from being developed or commercialized in a timely manner or otherwise prevent government agencies from performing normal business functions on which the operation of our business may rely, which could negatively impact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The ability of the FDA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Disruptions at the FDA and other agencies may also slow the time necessary for new product candidates to be reviewed and/or approved by necessary government agencies, which would adversely affect our business.</w:t>
      </w:r>
    </w:p>
    <w:p>
      <w:pPr>
        <w:pStyle w:val="TextBody"/>
        <w:bidi w:val="0"/>
        <w:spacing w:before="0" w:after="0"/>
        <w:ind w:left="0" w:right="0" w:hanging="0"/>
        <w:jc w:val="left"/>
        <w:rPr/>
      </w:pPr>
      <w:r>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In addition, government funding of the SEC and other government agencies on which our operations may rely, including those that fund research and development activities, is subject to the political process, which is inherently fluid, unpredictable and entirely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Disruptions at the FDA and other agencies, including workforce reductions, may also slow the time necessary for us and the FDA to communicate and discuss key aspects of our clinical program, or for new product candidates to be reviewed and/or approved by necessary government agencies, which would adversely affect our business. For example, in prior years the U.S. government has shut down several times and certain regulatory agencies, such as the FDA and the SEC, have had to furlough critical employees and stop critical activities. If a prolonged government shutdown occurs, it could significantly impact the ability of the FDA or SEC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reliance on third parties for both the supply and manufacture of materials for our product candidates carries the risk that we will not have sufficient quality or quantities of such materials or product candidates, or that such supply will not be available to us at an acceptable cost, which could delay, prevent, or impair our development or commercialization efforts.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do not have any manufacturing facilities. We currently expect to rely on CDMOs for all of the manufacture of our materials for preclinical studies and clinical studies, clinical studies, and for commercial supply of any product candidates that we may develop. We currently have established relationships with several CDMOs for the manufacturing of our product candidates. We may be unable to establish any further agreements with CDMOs or to do so on acceptable terms. Even if we are able to establish agreements with third-party manufacturers, reliance on CDMOs entails additional risks, including: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possible breach of the manufacturing agreement by the third party;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possible termination or nonrenewal of the agreement by the third party at a time that is costly or inconvenient for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reliance on the third party for regulatory compliance, quality assurance, safety, and pharmacovigilance and related reporting;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inability to produce required volume in a timely manner and to quality standards.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Third-party manufacturers may not be able to comply with cGMP regulations or similar regulatory requirements outside the U.S. Our failure, or the failure of our CDMOs, to comply with applicable regulations could result in clinical holds on our studies, sanctions being imposed on us, including fines, injunctions, civil penalties, delays, suspension or withdrawal of approvals, seizures, or recalls of product candidates or product candidates, operating restrictions, and criminal prosecutions, any of which could significantly and adversely affect supplies of our product candidates and harm our business, financial condition, results of operations,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performance failure on the part of our existing or future third-party manufacturers could delay clinical development or marketing approval.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also rely on third-parties for the supply of the raw materials required for the production of our product candidates, and we expect to continue to rely on third party manufacturers for the commercial supply of any of our product candidates for which we obtain marketing approval. 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2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employees, principal investigators, consultants and vendors may engage in misconduct or other improper activities, including noncompliance with regulatory standards and requirements and insider trading.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exposed to the risk of fraud or other misconduct by our employees, principal investigators, consultants and vendors. Misconduct by these parties could include intentional failures, reckless and/or negligent conduct or unauthorized activities that violate (i) the laws and regulations of FDA and other regulatory authorities, including those laws requiring the reporting of true, complete and accurate information to such authorities, (ii) manufacturing standards, (iii) federal and state data privacy, security, fraud and abuse and other healthcare laws and regulations in the United States and abroad and (iv) laws that require the true, complete and accurate reporting of financial information or data. In particular, clinical and business arrangements in the biotechnology and healthcare industries are subject to extensive laws and regulations intended to prevent fraud, misconduct, kickbacks, self-dealing and other abusive practices. These laws and regulations restrict or prohibit a wide range of financial arrangements, incentive programs and other business arrangements. Such misconduct also could involve the improper use of individually identifiable information, including, without limitation, information obtained in the conduct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disclosure controls and procedures may not prevent or detect all errors or acts of fraud.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subject to the periodic reporting requirements of the Exchange Act. We designed our disclosure controls and procedures to reasonably assure that information we must disclose in reports we file or furnish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inherent limitations include the realities that judgments in decision-making can be faulty, and that breakdowns can occur because of simple mistake or human error.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Failure to comply with laws regarding data privacy could expose us to risk of enforcement actions and penalties under such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 Our ongoing efforts to comply with evolving laws and regulations may be costly and require ongoing modifications to our policies, procedures and systems. Failure to comply with laws regarding data protection by us or our partners or service providers would expose us to risk of enforcement actions and penalties under such laws.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Within the U.S., there are numerous federal and state laws and regulations related to the privacy and security of personal information. For example, at the federal level, the Health Insurance Portability and Accountability Act of 1996, as amended (HIPAA), and its implementing regulations establish privacy and security standards that limit the use and disclosure of personally identifiable health information, or protected health information, and require the implementation of administrative, physical and technological safeguards to protect the privacy of protected health information. While we have determined that we are neither a “covered entity” nor a “business associate” directly subject to HIPAA, many of the U.S. health care providers with which we interact are subject to HIPAA, and we may have assumed obligations related to protecting the privacy of personal information. States are increasingly regulating the privacy and security of personal information. For example, the California Consumer Privacy Act (CCPA), which took effect in 2020, gives California consumers (defined to include all California residents) certain rights, including the right to ask covered companies to disclose the types of personal information collected, the categories of sources from which such information was collected, the business purpose for collecting or selling the consumer’s personal information, the categories of third parties with whom a covered company shares personal information, and specific pieces of information collected by a covered company. The CCPA imposes several obligations on covered companies to provide notice to California consumers regarding their data processing activities. The CCPA also gives California consumers the right to ask covered companies to delete a consumer’s personal information and it places limitations on a covered company’s ability to sell personal information, including providing consumers a right to opt out of sales of their personal information. Additionally, the California Privacy Rights Act (CPRA), which became operational in 2023, significantly modifies the CCPA, including expanding consumers’ rights with respect to certain sensitive personal information, and creates a new state agency vested with authority to implement and enforce the CCPA and CPRA. The Virginia Consumer Data Protection Act (CDPA) went into effect in 2023 and provides consumers with new rights to access, correct, delete and obtain a copy of the personal information a covered business holds about them, and to opt out of certain data processing activities.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Ownership of our corporate headquarters and property leasing are subject to numerous risks and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2021, we made an all-cash purchase of an office complex in Austin, Texas, a portion of which serves as our corporate headquarters. Title to this property is held by Austin Innovation Park, LLC, a Texas limited liability company wholly owned by the Company. The purchase required a substantial upfront cash investment and may require further commitments of our resources in the future. We have assumed or entered into lessor commitments with independent third parties for portions of our office complex and expect to continue to do so in the future. Commercial property ownership and related leasing activity are subject to many factors that pose substantial financial risks and uncertainties, including tenant default or non-payment of lease obligations by tenants. Macro-economic or other factors outside of our control could have an adverse effect on the demand for leased office space in our locale or may cause a decline in the market value of our corporate headquarters.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At December 31, 2025, we occupied approximately 25% of the property with the remainder either leased or available for lease to third parties. We expect to record a modest net loss on leasing activities in 2026 due to higher vacancy rates compared to historic occupancy. If we fail to lease unoccupied office space at favorable rates, or if we incur excessive expenses in this effort or incur excessive leasehold improvements or property ownership expenses, our business, operations, future prospects, cash flows, and financial position may be adversely affected.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Our internal computer systems, or those used by third parties on whom we rely, may fail or suffer other breakdowns, cyberattacks, or information security breaches that could compromise the confidentiality, integrity, and availability of such systems and data, result in material disruptions of our development programs and business operations, risk disclosure of confidential, financial, or proprietary information, and affect our reputation.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ordinary course of our business, we collect and store sensitive data, including legally protected patient health information, personally identifiable information about our employees, intellectual property, and proprietary business information. We manage and maintain our applications and data utilizing on-site systems, as well as extensive cloud-based applications and data storage. These applications and data encompass a wide variety of business-critical information including research and development information, commercial information and business and financial information. Despite the implementation of security measures, our internal computer systems and those of our current or future CROs and other contractors and consultants may be vulnerable to damage from computer viruses and unauthorized access. As the cyber-threat landscape evolves, these cyberattacks are growing in frequency, sophistication, and intensity, and are becoming increasingly difficult to detect. Such attacks could include the use of key loggers or other harmful and virulent malware, including ransomware or other denials of service, and can be deployed through malicious websites, the use of social engineering, and/or other means. If a breakdown, cyberattack, or other information security breach were to occur and cause interruptions in our operations, it could result in a misappropriation of confidential information, including our intellectual property or financial information, and a material disruption of our development programs and our business operations. For example, the loss of clinical study data from completed, ongoing, or future clinical studies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to conduct clinical studies, and to analyze our clinical study data and similar events relating to their computer systems could also have a material adverse effect on our business. To the extent that any disruption or security breach were to result in a loss of, or damage to, our data or systems, or inappropriate disclosure of confidential, financial, or proprietary information, including data related to our personnel, we could incur liability or risk disclosure of confidential, financial, or proprietary information, and the further development and commercialization of our product candidates could be delayed. There can be no assurance that we and our business counterparties will be successful in efforts to detect, prevent, or fully recover systems or data from all breakdowns, service interruptions, attacks, or breaches of systems that could adversely affect our business and operations and/or result in the loss of critical or sensitive data, which could result in financial, legal, business, or reputational harm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exploring and incorporating AI capabilities and related data analytics into our drug development efforts. As an emerging and rapidly evolving technology, our use of AI presents risks that could adversely affect our operations, information security and reputation. AI systems may produce inaccurate or flawed outputs due to flawed algorithms, or insufficient and/or erroneous training data. Reliance on flawed outputs could result in lower quality decision making or prevent us from effectively utilizing AI in our business. We may also become vulnerable to operational disruptions if the AI technologies we use experience downtimes or are compromised by cyberattacks. If we do not effectively implement guardrails and train our staff on the safe and proper use of AI, or if our staff fail to effectively adhere to our established guardrails and training on the use of AI, we may experience adverse effects on our business, including data breaches, the loss of confidential information (including our intellectual property), unintentional disclosure of personal data, or other misuse of our proprietary information, any of which could result in significant reputational harm and could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reliance on third parties requires us to share our proprietary information, which increases the possibility that a competitor will discover this information or that our proprietary information will be misappropriated or inadvertently disclosed.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reliance on third-party vendors requires us to disclose our proprietary information to these parties, which could increase the risk that a competitor will discover this information or that our proprietary information will be misappropriated or disclosed without our intent to do so. If any of these events were to occur, then our ability to obtain patent protection or other intellectual property rights could be irrevocably jeopardized, and costly, distracting litigation could ensue. Furthermore, if these third-party vendors cease to continue operations and we are not able to quickly find a replacement provider or we lose information or items associated with our product candidates, our development programs may be delayed. Although we carefully manage our relationships with our third-party collaborators and CROs, there can be no assurance that we will not encounter challenges or delays in the future or that these delays or challenges will not have a material adverse impact on our business, clinical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involves environmental risks that may result in liability for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connection with our research and development activities, we, and our collaborators and vendors, are subject to federal, state and local laws, rules, regulations and policies governing the use, generation, manufacture, storage, air emission, effluent discharge, handling and disposal of certain materials, biological specimens, chemicals and wastes. Although we believe that we comply with such applicable laws, regulations and policies in all material respects and have not been required to correct any material noncompliance, we may incur significant costs to comply with environmental and health and safety regulations in the future. Although we believe that our safety procedures for handling and disposing of controlled materials comply with the standards prescribed by state and federal regulations, accidental contamination or injury from these materials may occur. In the event of such an occurrence, we could be held liable for any damages that result and any such liability could exceed our resources.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Business disruptions and lack of appropriate levels of commercial insurance could seriously harm our future revenue and financial condition and increase our costs and expenses.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operations, and those of our third-party research institution collaborators, CROs, CDMOs, suppliers, and other contractors and consultants, could be subject to earthquakes, power shortages, telecommunications failures, water shortages, floods, hurricanes, typhoons, fires, extreme weather conditions, disease epidemics or pandemics, and other natural or man-made disasters or business interruptions, for which we are partly or entirely uninsured. In addition, we rely on third parties for conducting certain research and development activities relating to our product candidates, and they may be affected by government shutdowns or withdrawn funding. The occurrence of any such business disruptions could seriously harm our operations and financial condition and increase our costs and expenses. We rely on third 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day-to-day operations are located in a single office facility in Austin, Texas. Damage or extended periods of interruption to our corporate, development, or research facilities could cause us to cease or delay development of some or all our product candidates. Our insurance might not cover losses under such circumstances and our business may be seriously harmed by such delays and interruption.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Social media platforms have significantly altered the dynamics of corporate communications and present risks and challenges, some of which are and may continue to be unknown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social media continues to expand, it also presents us with new challenges. The inappropriate or unauthorized use of our confidential information on media platforms could cause brand damage or information leakage, which would cause legal or regulatory issues for us. In addition, negative, inappropriate or inaccurate posts or comments about us or our product candidates on social media internet sites could quickly and irreversibly damage our reputation, image and goodwill. Further, the accidental or intentional disclosure of non-public sensitive information by our workforce or others through media channels could lead to information loss or could lead to legal or regulatory issues for us. In addition, there is a risk of a fraudulent third-party hijacking our information technology systems without our knowledge to access our confidential documents or to use our company name, logo or brand without authorization. If any of these events were to occur or we otherwise fail to comply with applicable regulations, we could incur liability, face restrictive regulatory actions or incur other harm and costs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are a small company with a limited number of employees. We are highly dependent on our key personnel, and if we are not successful in attracting, motivating, and retaining highly qualified personnel, we may not be able to successfully implement our business strategy.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ability to compete in the highly competitive biotechnology and pharmaceutical industries depends upon our ability to attract, motivate, and retain highly qualified managerial, scientific, and medical personnel. We are highly dependent on our management and our scientific and technical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 induce valuable employees to remain at our company, in addition to salary and cash incentives, we have provided equity option grants that vest over time and/or a cash bonus plan. The value to employees of these equity grants that vest over time or cash bonus plans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need to cease our operations if we are unable to attract and retain key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engaged in developing early- and clinical-stage technologies and will continue to do so for the foreseeable future. Unlike larger organizations, we rely on a very small number of highly skilled, and highly sought after, employees to continue the advancement of our development stage technologies. The knowledge and skills contributed by our key employees may be irreplaceable and the loss of a key employee may cause substantial negative financial, operational and scientific consequences for our business. As an example, the intellectual property that is intended to protect our development stage technologies is still evolving and its evolution remains highly dependent on a small number of employees with specific expertise. The loss of a key employee may jeopardize our existing or pending intellectual property or may prevent us from accessing the technical information and knowledge necessary to extend our portfolio of intellectual property. Furthermore, we believe the adverse effects that may result from losing a key employee’s participation cannot be compensated with any specific insurance policies, such as “key person” or “business life” insurance. If we are not successful in retaining key employees, our business and financial condition will suffer, and we may need to cease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our current research collaborators or scientific advisors terminate their relationships with us or develop relationships with a competitor, our ability to continue our business operations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relationships with unaffiliated research collaborators at academic and other institutions who conduct research at our request. These research collaborators are not our employees. As a result, we have limited control over their activities and, except as otherwise required by our collaboration agreements, can expect only limited amounts of their time to be dedicated to our activities. Our research and development activities may depend in part on the continuation of these collaborations. If any of these collaborations are terminated, we may not be able to enter into other acceptable collaborations. In addition, our existing collaborations may not be successful. Our research collaborators and scientific advisors may have relationships with other commercial entities, some of which could compete with us. Our research collaborators and scientific advisors sign agreements which provide for the confidentiality of our proprietary information and the results of studies conducted at our request. We may not, however, be able to maintain the confidentiality of our technology and other confidential information related to all collaborations. The dissemination of our confidential information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may be impacted by political events, war, terrorism, business interruptions and other geopolitical events and uncertainties beyond our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War, terrorism, geopolitical uncertainties and other business interruptions could cause damage to, disrupt or cancel the conduct of our clinical studies on a global or regional basis, which could have a material adverse effect on our business, clinical sites or vendors with which we do business. Such events could also decrease patient demand to enroll in our clinical studies or make it difficult or impossible for us to deliver products and services to our clinical investigational sites. In addition, territorial invasions can lead to cybersecurity attacks on technology companies, such as ours, located far outside of the conflict zone. In the event of prolonged business interruptions due to geopolitical events, we could incur significant losses, require substantial recovery time and experience significant expenditures in order to resume our business or clinical operations. We have no operations in Israel, Russia or the Ukraine, but we do not and cannot know if the current uncertainties in these geopolitical areas may escalate and result in broad economic and security conditions or rationing of medical supplies, which could limit our ability to conduct clinical trials outside the U.S.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efforts to minimize the likelihood and impact of a cybersecurity incident may not be successful and our business could be negatively affected by a data breach or other cybersecurity threat or other disruption to our operations, which could result in legal claims against us or could give rise to substantial financial costs to redress any such cybersecurity incident and could harm our relationship with vendors, clinical study participants or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business operation is data-intensive and relies extensively on the use of information technology. In addition, biopharmaceutical firms have been subject to an increasing number of cyberattacks in recent years, particularly cyberattacks targeting the theft of intellectual property and unauthorized access to proprietary clinical research data or sensitive patient information. Given the nature of our business, we are subject to a variety of evolving cybersecurity threats to our information technology infrastructure, including ransomware, unauthorized attempts to gain access to our operations or to sensitive patient information, denial-of-service attacks or various other methods of attacks. As discussed below, similar security threats may be faced by our vendors, consultants, suppliers, subcontractors, clinical investigational sites and non-clinical research labs.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Such cybersecurity threats are prevalent and continue to rise, are increasingly difficult to detect, and come from a variety of sources, including traditional computer “hackers,” threat actors, nation states and rogue nation-state actors. We could also be impacted by the improper cyber conduct of our employees or others working on behalf of us who have access to our proprietary information or sensitive patient information, which could adversely affect our business and reputation. The occurrence of any material cybersecurity incident could cause substantial disruptions to our business operations. In addition to cyber threats, we may face threats to the security of our facilities or executives, which could materially disrupt our business if carried 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also work cooperatively with numerous vendors, consultants, suppliers, subcontractors, clinical investigational sites and non-clinical research labs, which have access to our proprietary or sensitive information. These third parties, which are typically outside our control, may have varying levels of cybersecurity expertise and safeguards and our ability to monitor their cybersecurity practices is limited. These third parties may not have adequate cybersecurity measures in place, and incidents or other interruptions suffered by them could cause us to experience adverse consequences. In particular, cybersecurity incidents in our drug supply chain could have an adverse impact on our ability to timely deliver product candidates to patients and physicians participating in our clinical studies, which could cause us to delay or cancel the completion of our ongoing clinical and non-clinical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cybersecurity threats materialize and we or third-parties that we rely upon are unable to defend against them or to protect sensitive information, including through complying with evolving information security and data protection/privacy regulations, this could cause vendors, clinical study participants, clinical study investigation sites, patients, or governmental authorities to question the adequacy of the threat mitigation and detection processes and procedures that we and our vendors employ. Moreover, depending on the severity of an incident, our proprietary clinical research data, sensitive patient information, intellectual property, including trade secrets and research, development and technical know-how, could be compromised.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Nearly all of our operations carry cybersecurity risks, including risks that they could be breached or that we could fail to detect, prevent or combat attacks, which could result in financial losses and claims against us, and could harm our relationships with our vendors or clinical study participants. The costs and expenses to respond to a material cybersecurity incident or other security threat or disruption may be substantial for a company of our size. Further, our cybersecurity commercial insurance policy covering potential financial losses that may occur in the event we experience a cybersecurity incident may not be sufficient to cover any related damages or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Financial Condition and Capital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incurred significant net losses in each period since our inception and anticipate that we will continue to incur net losses for the foreseeable future.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incurred net losses in each reporting period since our inception, including a net loss of $91.0 million for the year ended December 31, 2025. As of December 31, 2025, we had an accumulated deficit of $496.1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invested significant financial resources in research and development activities for product candidates. We do not expect to generate revenue from product sales for several years, if at all. The amount of our future net losses will depend, in part, on the level of our future expenditures and revenue. Moreover, our net losses may fluctuate significantly from quarter to quarter and year to year, such that a period-to-period comparison of our results of operations may not be a good indicator of our future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expect to continue to incur operating expenses and losses for the foreseeable future. We anticipate our expenses will remain substantial as we: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continue our research and discovery activities;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advance our current and any future product candidates through preclinical and clinical development;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initiate and conduct additional preclinical, clinical, or other studies for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work with our CDMO’s for the manufacture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seek regulatory approvals and marketing authorizations for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obtain, maintain, protect, defend and enforce our intellectual property portfolio;</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attract, hire, and retain qualified personnel;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provide additional internal infrastructure to support our continued research and development operations and any planned commercialization efforts in the future;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experience any delays or encounter other issues related to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meet the requirements and demands of being a public company;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defend against litigation, claims or other uncertainties that may arise from allegations made against us or our collaborators.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prior losses and expected future losses have had and will continue to have an adverse effect on our stockholders’ equity and working capital. In any quarter, our operating results could be below the expectations of securities analysts or investors, which could cause our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broad discretion in the use of our capital resources, including the net proceeds from any of our financing transactions, and we may not use them effectively.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broad discretion in the application of our capital resources, including the net proceeds from our financing transactions, and investors will not have the opportunity to opine on whether such resources are being used appropriately. We could spend such capital resources in ways that vary substantially from their initially communicated intended use, do not improve our results of operations or enhance the value of our common stock. Our failure to apply these funds effectively could result in financial losses that could have a material adverse effect on our business, cause the price of our common stock to decline and delay the development of our product candidates. Pending their use, we may invest available capital resources, including net proceeds from our financing transactions, in a manner that does not produce income or that loses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have no product revenues and may never achieve revenues or profitability based on product revenues.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product candidates with significant commercial value. This is a significant endeavor that few early-stage biopharmaceutical companies can successfully achieve. Our ability to generate revenue and achieve profitability depends on many factors,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completing research and preclinical and clinical development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obtaining regulatory approvals and marketing authorizations for product candidates for which we successfully complete clinical development;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developing a sustainable and scalable manufacturing process for our product candidates, as well as establishing and maintaining commercially viable supply relationships with third parties that can provide adequate products and services to support clinical activities and commercial demand for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identifying, assessing, acquiring, and/or developing new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negotiating favorable terms in any collaboration, licensing, or other arrangements into which we may enter;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addressing any competing technological and market developments;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maintaining, protecting, expanding, and enforcing our portfolio of intellectual property rights, including patents, trade secrets, and know-how;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attracting, hiring, and retaining qualified personnel.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FDA or foreign regulatory agencies to perform studies in addition to those that we currently anticipate, or if there are any delays in any of our clinical studies or the development of any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may require additional capital to fund our operations and to complete the development of our product candidates. A failure to obtain this necessary capital on acceptable terms, or at all, could force us to delay, limit, reduce, or terminate our commercialization efforts, product development, or other operations.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operations have required substantial amounts of cash since inception, and we expect our expenses to remain substantial for the foreseeable future. To date, we have financed our operations primarily through the sale of equity securities, research grants and payments received from prior third-party collaborations. Developing our product candidates and conducting clinical studies for the treatment of neurodegenerative diseases, including TSC-related epilepsy, will require substantial amounts of capital. We will also require a significant amount of capital to commercialize any approved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December 31, 2025, we had cash and cash equivalents of $95.5 million. Based on our current operating plan, we believe that our existing cash and cash equivalents will be sufficient to fund our projected operations for at least the next 12 months. Our estimate as to how long we expect our existing cash and cash equivalents to be available to fund our operations is a forward-looking statement,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currently unanticipated circumstances, which may be beyond our control. We may need to raise additional funds sooner than we anticipate if we choose to expand more rapidly than we presently anticipate.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require additional capital for the further development of our product candidates. Additional capital may not be available when we need it, or on terms acceptable to us or at all. We have no committed source of additional capital. If adequate capital is not available to us on a timely basis, we may be required to significantly delay, limit, reduce or terminate our research and development programs or the commercialization of product candidates, if approved, or be unable to continue or expand our operations, or otherwise capitalize on our business opportunities, as desired, which could materially affect our business, financial condition, results of operations, and growth prospects and cause the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we may have to relinquish valuable rights to our technologies, future revenue streams, research programs, or product candidates, or grant licenses on terms that may not be favorable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Global credit and financial market conditions could negatively impact the value of our portfolio of cash equivalents and our ability to meet our financing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cash and cash equivalents are generally maintained in highly liquid investments with original maturities of three months or less at the time of purchase. While, as of the date of this filing, we are not aware of any downgrades, material losses, or other significant deterioration in the fair value of our cash equivalents since December 31, 2025, no assurance can be given that deterioration in conditions of the global credit and financial markets would not negatively impact our current portfolio of cash equivalents or our ability to meet our financing objectives.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the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We do not know whether a sufficient market will continue to develop for our securities or what the market price of our securities will be, and, as a result, it may be difficult for investors to sell shares of our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 market for our common stock is not sustained, it may be difficult to sell shares of our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The market price of our common stock has historically been highly volatile, and we expect it to continue to be volatile, which could result in substantial losses for investors who purchase our shares.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market price of our common stock has historically been highly volatile. For example, the closing price of our common stock has fluctuated from a low of $1.19 to a high of $4.64 over the 12 months preceding the filing date of this Annual Report on Form 10-K. Some of the factors that may cause the market price of our common stock to fluctuate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success of existing or new competitive products or technologies;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timing and results of clinical studies for our current product candidates and any future product candidates that we may develop;</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failure or discontinuation of any of our product development and research programs;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results of preclinical studies, clinical studies, or regulatory approvals of product candidates of our competitors, or announcements about new research programs or product candidates of our competitors;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regulatory or legal developments in the United States and other countries;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developments or disputes concerning patent applications, issued patents, or other proprietary rights;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recruitment or departure of key personnel;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level of expenses related to any of our research programs, clinical development programs, or product candidates that we may develop;</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of our efforts to develop additional product candidates or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actual or anticipated changes in estimates as to financial results or development timelines;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announcement or expectation of additional financing efforts;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of our common stock by us, our insiders, or other stockholders;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 selling of our stock, in which a seller sells shares of our stock that the seller has borrowed from a third party, which often occurs when a short seller expects the price of our common stock to decline;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variations in our financial results or those of companies that are perceived to be similar to us;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estimates or recommendations by securities analysts, if any, that cover our stock;</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market conditions in the pharmaceutical and biotechnology sectors;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economic, industry, and market conditions;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litigation, regardless of merit.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recent years, the stock market in general, Nasdaq, and the markets for early-stage companies and pharmaceutical and biotechnology companies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are currently and may become the target of securities litigation in the future. Securities litigation could result in substantial costs and divert management’s attention and resources from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If securities analysts do not publish research or reports about our business, or we are the subject of negative publicity, the price of our stock could decline.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trading market for our securities depends, in part, on the research and reports that securities or industry analysts publish about us or our business. We do not control these analysts. If one or more of the analysts who cover us downgrade our stock or publish inaccurate or unfavorable evaluations of our company or our stock, the price of our securities could decline. If one or more of these analysts cease coverage of our company or fail to publish reports covering our company regularly, our stock may lose visibility in the market, which in turn could cause the price of our securities to decline. In addition, if we are the subject of negative publicity, whether from an analyst, academic, social media, industry group or the general or financial press, the price of our securities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maintain effective internal controls, our business, financial position, and results of operations could be adversely affected.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a smaller reporting company, our independent registered public accounting firm is not required to conduct, and has not conducted, an audit of our internal control over financial reporting. It is possible that, had our independent registered public accounting firm conducted an audit of our internal control over financial reporting, such firm might have identified material weaknesses and deficiencies that we have not identified. If we or our independent auditors discover a material weakness, the disclosure of that fact, even if quickly remedied, could adversely affect the market price and trading liquidity of our common stock, cause investors to lose confidence in our financial reporting and generally materially adversely impact our business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rules governing the standards that must be met for management to assess our internal control over financial reporting are complex and require significant documentation, testing and possible remediation to meet the detailed standards under the rules. During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consolidated financial statements for external purposes in accordance with accounting principles generally accepted in the U.S. Any failure to maintain effective internal controls, or if our independent registered public accounting firm is unable to attest to the effectiveness of our internal control over financial reporting, could have an adverse effect on our business,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Anti-takeover provisions in our charter documents and Delaware law may prevent or delay removal of incumbent management or a change of control.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Anti-takeover provisions of our amended and restated certificate of incorporation and amended and restated bylaws and Delaware law may have the effect of deterring or delaying attempts by our stockholders to remove or replace management, engage in proxy contests and effect changes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Key provisions of our current charter documents include: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classified board so that only one of the three classes of directors on our Board of Directors (the “Board”) is elected each year;</w:t>
            </w:r>
          </w:p>
        </w:tc>
      </w:tr>
    </w:tbl>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9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elimination of cumulative voting in the election of directors;</w:t>
            </w:r>
          </w:p>
        </w:tc>
      </w:tr>
    </w:tbl>
    <w:tbl>
      <w:tblPr>
        <w:tblW w:w="6640" w:type="dxa"/>
        <w:jc w:val="left"/>
        <w:tblInd w:w="0" w:type="dxa"/>
        <w:tblLayout w:type="fixed"/>
        <w:tblCellMar>
          <w:top w:w="0" w:type="dxa"/>
          <w:left w:w="0" w:type="dxa"/>
          <w:bottom w:w="0" w:type="dxa"/>
          <w:right w:w="0" w:type="dxa"/>
        </w:tblCellMar>
      </w:tblPr>
      <w:tblGrid>
        <w:gridCol w:w="60"/>
        <w:gridCol w:w="170"/>
        <w:gridCol w:w="6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4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procedures for advance notification of stockholder nominations and proposals;</w:t>
            </w:r>
          </w:p>
        </w:tc>
      </w:tr>
    </w:tbl>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4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ability of the Board to amend our bylaws without stockholder approval;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ability of the Board to issue up to 10,000,000 shares of preferred stock without stockholder approval upon the terms and conditions and with the rights, privileges and preferences as the Board may determine.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as a Delaware corporation, we are subject to Delaware law, including Section 203 of the Delaware General Corporation Law. In general, Section 203 prohibits a Delaware corporation from engaging in any business combination with any interested stockholder for a period of three years following the date that the stockholder became an interested stockholder unless certain specific requirements are met as set forth in Section 203.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provisions, alone or together, could have the effect of deterring or delaying changes in incumbent management, proxy contests or changes in control.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amended and restated bylaws provide that the federal district courts of the United States of America shall be the exclusive forum for the resolution of any complaint asserting a cause of action arising under the Securities Laws of 1933, which could limit our stockholders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obtain a favorable judicial forum for disputes with us or our directors, officers or employees.</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amended and restated bylaws provide that the federal district courts of the United States of America shall be the exclusive forum for the resolution of any complaint asserting a cause of action arising under the Securities Act of 1933.</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While the Delaware courts have determined that such choice of forum provisions are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exclusive-forum provisions may limit a stockholder’s ability to bring a claim in a judicial forum that it finds favorable for disputes with us or our directors, officers or other employees, which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exclusive-forum provision contained in our amended and restated bylaws to be inapplicable or unenforceable in an action, we may incur further significant additional costs associated with resolving such action in other jurisdictions, all of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Changes in our ownership could limit our ability to utilize net operating loss carryforwards.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December 31, 2025, we had aggregate federal net operating loss carryforwards of approximately $373.8 million, which begin to expire in 2029. Under Section 382 of the Internal Revenue Code of 1986, as amended,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rolling three-year period. Any such limitation may significantly reduce our ability to utilize our net operating loss carryforwards and tax credit carryforwards. Any such limitation, whether as the result of past offerings, sales of our common stock by our existing stockholders, the issuance of shares of common stock as a result of the exercise of warrants or additional sales of our common stock by us in the future could have a material adverse effect on our results of operations in future years. We have not completed a study to assess whether an ownership change for purposes of Section 382 has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sell additional equity or debt securities to fund our operations, and have outstanding securities exercisable for our common stock, which may result in dilution to our stockholders and impose restrictions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order to raise additional capital to support our operations, we may sell additional shares of our common stock or other securities convertible into or exchangeable for our common stock which could result in dilution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cannot assure you that we will be able to sell shares or other securities in any other offering at a price per share that is equal to or greater than the price per share paid by investors in prior offerings, and investors purchasing our shares or other securities in the future could have rights superior to existing shareholders. The price per share at which we sell additional shares of our common stock or securities convertible into or exchangeable for our common stock in future transactions may be higher or lower than the price per share in prior offerings. You may also be diluted upon the exercise of outstanding stock options as of December 31, 2025 to purchase approximately 4.2 million shares of our common stock at a weighted average price of $15.01 per share and the future issuance of up to approximately 0.5 million compensatory equity awards authorized under our 2018 Omnibus Incentive Plan. The issuance of such additional shares of common stock or the perception that issuances could occur, could result in significant downward pressure on our stock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November 12, 2025, we entered into an at-the-market offering program (ATM) to sell, from time to time, shares of our common stock having an aggregate offering price of up to $50 million in common stock in transactions pursuant to a shelf registration statement that was declared effective by the SEC on December 5, 2025. As of December 31, 2025, $50 million of capacity remained under the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estimates and judgments we make, or the assumptions on which we rely, in preparing our consolidated financial statements could prove inaccurate.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consolidated financial statements have been prepared in accordance with accounting principles generally accepted in the U.S. The preparation of these consolidated financial statements requires us to make estimates and judgments that affect the reported amounts of our assets, liabilities and expenses, the amounts of charges accrued by us and related disclosure of contingent assets and liabilities. Such estimates and judgments include development expenses, valuation of stock-based awards and income tax. We base our estimates on historical experience, facts and circumstances known to us and on various other assumptions that we believe to be reasonable under the circumstances. We cannot provide assurances, however, that our estimates, or the assumptions underlying them, will not change over time or otherwise prove inaccurate. If this is the case, we may be required to restate our consolidated financial statements, which could, in turn, subject us to securities class action litigation. Defending against such potential litigation relating to a restatement of our consolidated financial statements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and cause our stock price to decline, which could in turn subject us to securities class action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5" w:name="item1b"/>
      <w:bookmarkEnd w:id="5"/>
      <w:r>
        <w:rPr>
          <w:rFonts w:ascii="Times New Roman" w:hAnsi="Times New Roman"/>
          <w:b/>
          <w:caps w:val="false"/>
          <w:smallCaps w:val="false"/>
          <w:sz w:val="20"/>
        </w:rPr>
        <w:t xml:space="preserve">Item 1B. </w:t>
      </w:r>
      <w:r>
        <w:rPr>
          <w:rFonts w:ascii="Times New Roman" w:hAnsi="Times New Roman"/>
          <w:caps w:val="false"/>
          <w:smallCaps w:val="false"/>
          <w:sz w:val="20"/>
        </w:rPr>
        <w:t>    </w:t>
      </w:r>
      <w:r>
        <w:rPr>
          <w:rFonts w:ascii="Times New Roman" w:hAnsi="Times New Roman"/>
          <w:b/>
          <w:i/>
          <w:caps w:val="false"/>
          <w:smallCaps w:val="false"/>
          <w:sz w:val="20"/>
        </w:rPr>
        <w:t>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6" w:name="item1c"/>
      <w:bookmarkEnd w:id="6"/>
      <w:r>
        <w:rPr>
          <w:rFonts w:ascii="Times New Roman" w:hAnsi="Times New Roman"/>
          <w:b/>
          <w:caps w:val="false"/>
          <w:smallCaps w:val="false"/>
          <w:sz w:val="20"/>
        </w:rPr>
        <w:t xml:space="preserve">Item 1C. </w:t>
      </w:r>
      <w:r>
        <w:rPr>
          <w:rFonts w:ascii="Times New Roman" w:hAnsi="Times New Roman"/>
          <w:caps w:val="false"/>
          <w:smallCaps w:val="false"/>
          <w:sz w:val="20"/>
        </w:rPr>
        <w:t>    </w:t>
      </w:r>
      <w:r>
        <w:rPr>
          <w:rFonts w:ascii="Times New Roman" w:hAnsi="Times New Roman"/>
          <w:b/>
          <w:i/>
          <w:caps w:val="false"/>
          <w:smallCaps w:val="false"/>
          <w:sz w:val="20"/>
        </w:rPr>
        <w:t>Cybersecurity</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the normal course of business, we collect and store sensitive information, including proprietary and confidential business information, intellectual property, information regarding clinical and non-clinical trials, sensitive </w:t>
      </w:r>
      <w:r>
        <w:rPr>
          <w:rStyle w:val="Emphasis"/>
          <w:rFonts w:ascii="Times New Roman" w:hAnsi="Times New Roman"/>
          <w:caps w:val="false"/>
          <w:smallCaps w:val="false"/>
          <w:sz w:val="20"/>
        </w:rPr>
        <w:t>third</w:t>
      </w:r>
      <w:r>
        <w:rPr>
          <w:rFonts w:ascii="Times New Roman" w:hAnsi="Times New Roman"/>
          <w:caps w:val="false"/>
          <w:smallCaps w:val="false"/>
          <w:sz w:val="20"/>
        </w:rPr>
        <w:t>-party information and employee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processes designed to protect our information systems, data, assets, infrastructure, and computing environments from cybersecurity threats and risks. Our cybersecurity strategy includes the use of managed detection and response services to monitor our network infrastructure and associated endpoints for possible cybersecurity threats. In addition, we use multi-factor authentication, perform periodical penetration testing and other logical, physical and technical controls designed to deter, prevent, mitigate and respond to cybersecurity threats. Further, our information systems include continuous alert plans, and we provide periodical cybersecurity reminders to our employees to emphasizes the importance of adherence to our security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conduct organizational risk assessment, which help management in identifying data assets and recognizing and assessing potential threats, and investigating potential vulnerabilities. We are in the process of reviewing and implementing incremental information technology strategies to mitigate cybersecurity risks and their possible impacts. Risk assessments enable management to make risk management decisions and assign resources to mitigate risk. We also periodically engage third parties to assess the effectiveness of our cybersecurity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the date of this Annual Report, we do not believe that any past cybersecurity incidents that have been detected have materially affected, or are reasonably likely to materially affect, our business strategy,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See “Risk Factors - Risks Related to Our Business and Operations” for additional information about the risks to our business associated with cybersecurity or a breach or compromise to our information security systems.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i/>
          <w:caps w:val="false"/>
          <w:smallCaps w:val="false"/>
          <w:sz w:val="20"/>
        </w:rPr>
      </w:pPr>
      <w:r>
        <w:rPr>
          <w:rFonts w:ascii="Times New Roman" w:hAnsi="Times New Roman"/>
          <w:i/>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Director of Information Technology has responsibilities which include preventing and monitoring cybersecurity threats and utilizes the assistance of external vendors in this effort. Our Director of Information Technology regularly reports to senior management regarding the status of our cybersecurity program, emerging cybersecurity threats, long-term cybersecurity investments and strategies, and oversight of our cybersecurity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full Board of Directors oversees the risk management process for the Company, which includes identifying, assessing and managing enterprise-level risks. The Board administers this oversight function directly through the Board of Directors as a whole, as well as through its standing committees that address risks inherent in their respective areas of oversight. The risk oversight responsibility of the Board of Directors and its committees is supported by the management reporting processes, which are designed to provide visibility to the Board of Directors and to the personnel who are responsible for risk assessment and information about the identification, assessment and management of critical risks, and management’s risk mitigation strategies. Our cybersecurity risk program directly integrates and is intended to align with the Board of Directors’ overall risk management process.</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7" w:name="item2"/>
      <w:bookmarkEnd w:id="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w:t>
      </w:r>
      <w:r>
        <w:rPr>
          <w:rFonts w:ascii="Times New Roman" w:hAnsi="Times New Roman"/>
          <w:caps w:val="false"/>
          <w:smallCaps w:val="false"/>
          <w:sz w:val="20"/>
        </w:rPr>
        <w:t>    </w:t>
      </w:r>
      <w:r>
        <w:rPr>
          <w:rFonts w:ascii="Times New Roman" w:hAnsi="Times New Roman"/>
          <w:b/>
          <w:i/>
          <w:caps w:val="false"/>
          <w:smallCaps w:val="false"/>
          <w:sz w:val="20"/>
        </w:rPr>
        <w:t>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own an office complex in Austin, Texas, a portion of which serves as our corporate headquarters. Maintenance, physical facilities, leasing, property management and other key responsibilities related to property ownership are outsourced to professional real-estate managers. The office complex measures approximately 90,000 rentable square feet. We occupied approximately 25% of the property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8" w:name="item3"/>
      <w:bookmarkEnd w:id="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w:t>
      </w:r>
      <w:r>
        <w:rPr>
          <w:rFonts w:ascii="Times New Roman" w:hAnsi="Times New Roman"/>
          <w:caps w:val="false"/>
          <w:smallCaps w:val="false"/>
          <w:sz w:val="20"/>
        </w:rPr>
        <w:t>    </w:t>
      </w:r>
      <w:r>
        <w:rPr>
          <w:rFonts w:ascii="Times New Roman" w:hAnsi="Times New Roman"/>
          <w:b/>
          <w:i/>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and from time to time, we may become involved in litigation or other legal proceedings and claims, including U.S. government inquiries, investigations and Citizen Petitions submitted to FDA. In addition, we have received and from time to time may receive inquiries from government authorities relating to matters arising from the ordinary course of business. The outcome of these proceedings is inherently uncertain. Regardless of outcome, legal proceedings can have an adverse impact on us because of defense and settlement costs, diversion of management resources, and other factors. At this time, no assessment can be made as to their likely outcome or whether the outcome will be material to us except as disclosed in this Annual Report on Form 10-K in Note 11 to our consolidated financial statements entitled, “Contingencies.” We believe that our total provisions for legal matters are adequate based upon currently available information. Additional information regarding our legal proceedings is included in the “Contingencies”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9" w:name="item4"/>
      <w:bookmarkEnd w:id="9"/>
      <w:r>
        <w:rPr>
          <w:rFonts w:ascii="Times New Roman" w:hAnsi="Times New Roman"/>
          <w:b/>
          <w:caps w:val="false"/>
          <w:smallCaps w:val="false"/>
          <w:sz w:val="20"/>
        </w:rPr>
        <w:t xml:space="preserve">Item 4. </w:t>
      </w:r>
      <w:r>
        <w:rPr>
          <w:rFonts w:ascii="Times New Roman" w:hAnsi="Times New Roman"/>
          <w:caps w:val="false"/>
          <w:smallCaps w:val="false"/>
          <w:sz w:val="20"/>
        </w:rPr>
        <w:t>    </w:t>
      </w:r>
      <w:r>
        <w:rPr>
          <w:rFonts w:ascii="Times New Roman" w:hAnsi="Times New Roman"/>
          <w:b/>
          <w:i/>
          <w:caps w:val="false"/>
          <w:smallCaps w:val="false"/>
          <w:sz w:val="20"/>
        </w:rPr>
        <w:t>Mine Safety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0" w:name="item5"/>
      <w:bookmarkEnd w:id="10"/>
      <w:r>
        <w:rPr>
          <w:rFonts w:ascii="Times New Roman" w:hAnsi="Times New Roman"/>
          <w:b/>
          <w:caps w:val="false"/>
          <w:smallCaps w:val="false"/>
          <w:sz w:val="20"/>
        </w:rPr>
        <w:t>Item 5.</w:t>
      </w:r>
      <w:r>
        <w:rPr>
          <w:rFonts w:ascii="Times New Roman" w:hAnsi="Times New Roman"/>
          <w:caps w:val="false"/>
          <w:smallCaps w:val="false"/>
          <w:sz w:val="20"/>
        </w:rPr>
        <w:t>    </w:t>
      </w:r>
      <w:r>
        <w:rPr>
          <w:rFonts w:ascii="Times New Roman" w:hAnsi="Times New Roman"/>
          <w:b/>
          <w:i/>
          <w:caps w:val="false"/>
          <w:smallCaps w:val="false"/>
          <w:sz w:val="20"/>
        </w:rPr>
        <w:t>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Market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common stock is quoted on Nasdaq, under the symbol "FLNA."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March 2, 2026, there were approximately 30 registered holders of record of our common stock. We believe the actual number of stockholders is greater than this number of record holders and includes stockholders who are beneficial owners but whose shares are held in street name by brokers and other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of Non-Registered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Purchases of Equity Securities by the Issuer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currently expect to retain future earnings, if any, for use in the operation and expansion of our business and, notwithstanding our special non-dividend distributions in December 2012 (of $0.75 per share of common stock totaling $34.0 million) and December 2010 (of $2.00 per share of common stock totaling $85.7 million), we do not anticipate paying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Performance Graph</w:t>
      </w:r>
    </w:p>
    <w:p>
      <w:pPr>
        <w:pStyle w:val="TextBody"/>
        <w:bidi w:val="0"/>
        <w:spacing w:before="0" w:after="0"/>
        <w:ind w:left="0" w:right="0" w:firstLine="560"/>
        <w:jc w:val="both"/>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a smaller reporting company as defined by Rule 12b-2 of the Exchange Act and are not required to provide the information required under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item6"/>
      <w:bookmarkEnd w:id="11"/>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i/>
          <w:caps w:val="false"/>
          <w:smallCaps w:val="false"/>
          <w:sz w:val="20"/>
        </w:rPr>
        <w:t>[Reserved]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2" w:name="item7"/>
      <w:bookmarkEnd w:id="12"/>
      <w:r>
        <w:rPr>
          <w:rFonts w:ascii="Times New Roman" w:hAnsi="Times New Roman"/>
          <w:b/>
          <w:caps w:val="false"/>
          <w:smallCaps w:val="false"/>
          <w:sz w:val="20"/>
        </w:rPr>
        <w:t>Item 7.</w:t>
      </w:r>
      <w:r>
        <w:rPr>
          <w:rFonts w:ascii="Times New Roman" w:hAnsi="Times New Roman"/>
          <w:caps w:val="false"/>
          <w:smallCaps w:val="false"/>
          <w:sz w:val="20"/>
        </w:rPr>
        <w:t>    </w:t>
      </w:r>
      <w:r>
        <w:rPr>
          <w:rFonts w:ascii="Times New Roman" w:hAnsi="Times New Roman"/>
          <w:b/>
          <w:i/>
          <w:caps w:val="false"/>
          <w:smallCaps w:val="false"/>
          <w:sz w:val="20"/>
        </w:rPr>
        <w:t>Management</w:t>
      </w:r>
      <w:r>
        <w:rPr>
          <w:rFonts w:ascii="Times New Roman" w:hAnsi="Times New Roman"/>
          <w:caps w:val="false"/>
          <w:smallCaps w:val="false"/>
          <w:sz w:val="20"/>
        </w:rPr>
        <w:t>’</w:t>
      </w:r>
      <w:r>
        <w:rPr>
          <w:rFonts w:ascii="Times New Roman" w:hAnsi="Times New Roman"/>
          <w:b/>
          <w:i/>
          <w:caps w:val="false"/>
          <w:smallCaps w:val="false"/>
          <w:sz w:val="20"/>
        </w:rPr>
        <w:t>s Discussion and Analysis of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This discussion and analysis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of our financial condition and results of operations should be read in conjunction with our consolidated financial statements and accompanying notes included elsewhere in this Annual Report on Form 10-K. This discussion contains forward-looking statements that involve risk and uncertainties, such as statements of our plans, objectives, expectations, and intentions, that are based on the beliefs of our management. Operating results are not necessarily indicative of results that may occur in future periods. Factors that could cause or contribute to such differences include, but are not limited to, those discussed in the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section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Filana Therapeutics, Inc. (formerly Cassava Sciences, Inc.) is a clinical-stage biotechnology company based in Austin, Texas. Our mission is to develop transformative medicines to improve the lives of patients with CNS disorders, such as Tuberous Sclerosis Complex (TSC)-related epilepsy and other diseases associated with dysregulation or overexpression of filamin A. Our science is based on modulating the activity of a critical protein in the brain for patients with certain CNS disorders, such as TSC. Our lead therapeutic drug candidate, simufilam, was under clinical evaluation for the proposed treatment of Alzheimer’s disease in two Phase 3 clinical studies through 2024, when all ongoing clinical trials for simufilam in Alzheimer’s disease were discontinued. The phase out of the Company’s Alzheimer's disease development program was completed in the second quarter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lead therapeutic product candidate, simufilam, is a proprietary small molecule oral treatment drug being studied for the treatment of TSC-related epilepsy. Simufilam was discovered and designed in-house and was characterized by our academic collaborators during research activities that were conducted from approximately 2008 to date.</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Simufilam is intended to modulate the activity of a protein called filamin A, which regulates diverse aspects of neuronal cell development. Our and our collaborators’ published studies have demonstrated that the combination of mTOR activation and filamin A overexpression causes cell overgrowth, abnormal connectivity, and brain malformations, leading to seizures in patients with TSC. While such seizures have historically been treated with mTOR inhibitors and other drugs, filamin A represents a novel target for the potential treatment of TSC-related epilepsy, independent of mTOR. Simufilam is a potential first-in-class filamin A-modulating agent with the potential to treat TSC-related epilepsy. We continue to explore other potential indications for simufilam, both CNS related and otherwise, where our pre-clinical experiments suggest that simufilam may provide a benefit.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 Own or Control Worldwide Rights to Our Drug Development Program</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success depends in part on our ability to obtain, maintain, and enforce intellectual property protection for our product candidates, including simufilam, and related technologies. We seek to protect our proprietary position through a combination of patents, patent applications, trade secrets, know</w:t>
        <w:noBreakHyphen/>
        <w:t>how, and other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own or exclusively control a portfolio of issued patents and pending patent applications directed to simufilam and related diagnostic assets. These intellectual property rights include patents covering composition of matter for simufilam in the United States, Europe, Australia, Israel, and Canada, as well as patents covering certain methods of use of simufilam in the United States, Europe, and Japan. We also own pending patent applications covering diagnostic assets related to simufilam in the United States, Europe, Japan, China, Canada, and Australia, as well as additional pending patent applications covering other diagnostic assets in the United States, Europe, Japan, China, and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United States, our patent protection relating to simufilam, including its solid forms and methods of use for Alzheimer’s disease and other neurodegenerative diseases, consists of nine issued U.S. patents, with expiration dates ranging from 2029 to 2040, subject to potential patent term extensions and adjustments. We have filed corresponding foreign patent applications for each of these U.S. patent families where we believe such protection is commercially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to our owned intellectual property, on February 26, 2025, we entered into the License Agreement with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w:t>
        <w:noBreakHyphen/>
        <w:t>related epilepsy and other potential indications. Under this exclusive, worldwide license, we have the right to sublicense the licensed intellectual property. The license is subject to customary diligence obligations and includes milestone payments, royalties on net sales of licensed products, and other contingent payments, including payments tied to the transfer of any regulatory priority review voucher, if issued. As a result, commercial sales of simufilam or related products, if any, may be subject to royalty obligations to Yale.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Except for intellectual property licensed from third parties, including pursuant to the License Agreement with Yale, we do not owe royalties or other payments to third parties with respect to our owned patents and patent applications covering simufilam.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Tuberous Sclerosis Complex (TSC)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TSC is a genetic disorder that results from a mutation in the TSC1 or TSC2 genes. According to the Tuberous Sclerosis Alliance (TSCA), TSC is estimated to affect around 1 in 6,000 live births with approximately 50,000 people affected in the United States and more than one million worldwide. Clinical symptoms of TSC are variable and can impact organ systems with non-malignant tumors developing in brain, eyes, heart, kidney, skin and lungs. Interrelated neuropsychiatric manifestations of TSC such as intellectual disability, autism spectrum disorder, anxiety, aggression, attention deficit hyperactivity disorder, and sleep disturbance can significantly impact quality of life. Epilepsy is common in TSC, occurring in 84% of patients registered in the TSC Alliance Natural History Database with onset often occurring in their first year of life. Approximately 60 percent of TSC patients suffer from treatment-resistant seizures despite use of multiple anti-seizure medications. TSC-related epilepsy is associated with poor outcomes and increases the risk of cognitive deficits.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Preclinical Studies with Simufilam in Tuberous Sclerosis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Preclinical research conducted at Yale indicates that simufilam (then PTI-125) may be effective in reducing TSC-related seizure activity. A study conducted by Angelique Bordey, PhD, at Yale and published in the peer-reviewed journal </w:t>
      </w:r>
      <w:r>
        <w:rPr>
          <w:rFonts w:ascii="Times New Roman" w:hAnsi="Times New Roman"/>
          <w:i/>
          <w:caps w:val="false"/>
          <w:smallCaps w:val="false"/>
          <w:sz w:val="20"/>
        </w:rPr>
        <w:t>Neuron</w:t>
      </w:r>
      <w:r>
        <w:rPr>
          <w:rFonts w:ascii="Times New Roman" w:hAnsi="Times New Roman"/>
          <w:caps w:val="false"/>
          <w:smallCaps w:val="false"/>
          <w:sz w:val="20"/>
        </w:rPr>
        <w:t> in 2014 found overexpression of filamin A and neuronal abnormalities in brain tissue from TSC patients, as well as in brain tissue from mice that had been genetically altered to model TSC. The study further found that genetically normalizing filamin A expression in the mice prevented neuronal abnormalities. The paper, MEK-ERK1/2-Dependent FLNA Overexpression Promotes Abnormal Dendritic Patterning in Tuberous Sclerosis Independent of mTOR (</w:t>
      </w:r>
      <w:r>
        <w:rPr>
          <w:rFonts w:ascii="Times New Roman" w:hAnsi="Times New Roman"/>
          <w:i/>
          <w:caps w:val="false"/>
          <w:smallCaps w:val="false"/>
          <w:sz w:val="20"/>
        </w:rPr>
        <w:t>Neuron</w:t>
      </w:r>
      <w:r>
        <w:rPr>
          <w:rFonts w:ascii="Times New Roman" w:hAnsi="Times New Roman"/>
          <w:caps w:val="false"/>
          <w:smallCaps w:val="false"/>
          <w:sz w:val="20"/>
        </w:rPr>
        <w:t>. 2014 Oct 1. PMID: 25277454), was co-authored by Zhang L, Bartley CM, Gong X, Hsieh LS, Lin TV and Feliciano DM.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later study conducted by Dr. Bordey and published in the peer-reviewed journal </w:t>
      </w:r>
      <w:r>
        <w:rPr>
          <w:rFonts w:ascii="Times New Roman" w:hAnsi="Times New Roman"/>
          <w:i/>
          <w:caps w:val="false"/>
          <w:smallCaps w:val="false"/>
          <w:sz w:val="20"/>
        </w:rPr>
        <w:t>Science Translational Medicine</w:t>
      </w:r>
      <w:r>
        <w:rPr>
          <w:rFonts w:ascii="Times New Roman" w:hAnsi="Times New Roman"/>
          <w:caps w:val="false"/>
          <w:smallCaps w:val="false"/>
          <w:sz w:val="20"/>
        </w:rPr>
        <w:t> in 2020 likewise found elevated filamin A and neuronal abnormalities in brain tissue from patients with focal cortical dysplasia type II (FCDII), a genetic disorder with similar characteristics to TSC, as well as in the brains of mice that had been genetically altered to model TSC and FCDII. That study showed that normalizing filamin A expression in the mice through genetic knockdown both limited the neuronal abnormalities and reduced the frequency of epileptic seizures in the mice. This 2020 paper, Filamin A Inhibition Reduces Seizure Activity in a Mouse Model of Focal Cortical Malformations (</w:t>
      </w:r>
      <w:r>
        <w:rPr>
          <w:rFonts w:ascii="Times New Roman" w:hAnsi="Times New Roman"/>
          <w:i/>
          <w:caps w:val="false"/>
          <w:smallCaps w:val="false"/>
          <w:sz w:val="20"/>
        </w:rPr>
        <w:t>Sci Transl Med</w:t>
      </w:r>
      <w:r>
        <w:rPr>
          <w:rFonts w:ascii="Times New Roman" w:hAnsi="Times New Roman"/>
          <w:caps w:val="false"/>
          <w:smallCaps w:val="false"/>
          <w:sz w:val="20"/>
        </w:rPr>
        <w:t>. 2020 Feb 19. PMID: 32076941), was co-authored by Zhang L, Huang T, Teaw S, Nguyen LH, Hsieh LS, Gong X, and Lindsay Burns, a former employee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this 2020 study, Dr. Bordey and her colleagues also studied the effect of treatment with simufilam in the mice that had been altered to model TSC and FCDII. The research showed that treatment with simufilam limited neuronal abnormalities and reduced seizure activity in the mouse model at a level similar to genetic knockdown of filamin A expression. Treatment with simufilam did not, however, affect the level of filamin A in the brains of the mice.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Dr. Bordey joined the Company as Senior Vice President, Neuroscience, on May 1, 2025, while continuing her tenured academic position at Yale School of Medicine on a part time basis. In connection with plans to initiate a clinical program in TSC-related epilepsy, the Company appointed Dr. Joseph Hulihan as Chief Medical Officer in August 2025. Dr. Hulihan, who brings over 25 years of industry experience, devotes approximately half of his professional time to the Company and will advise on the clinical development of simufilam.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August 2025, the Company announced positive preclinical results of a study evaluating simufilam in a well-accepted mouse model of TSC-related epilepsy. The study was conducted in collaboration with the TSCA and the TSC Preclinical Consortium using an animal model of TSC-related epilepsy, the </w:t>
      </w:r>
      <w:r>
        <w:rPr>
          <w:rFonts w:ascii="Times New Roman" w:hAnsi="Times New Roman"/>
          <w:i/>
          <w:caps w:val="false"/>
          <w:smallCaps w:val="false"/>
          <w:sz w:val="20"/>
        </w:rPr>
        <w:t>Tsc1</w:t>
      </w:r>
      <w:r>
        <w:rPr>
          <w:rFonts w:ascii="Times New Roman" w:hAnsi="Times New Roman"/>
          <w:caps w:val="false"/>
          <w:smallCaps w:val="false"/>
          <w:sz w:val="20"/>
        </w:rPr>
        <w:t> conditional knockout (CKO) mouse line (</w:t>
      </w:r>
      <w:r>
        <w:rPr>
          <w:rFonts w:ascii="Times New Roman" w:hAnsi="Times New Roman"/>
          <w:i/>
          <w:caps w:val="false"/>
          <w:smallCaps w:val="false"/>
          <w:sz w:val="20"/>
        </w:rPr>
        <w:t>Tsc1</w:t>
      </w:r>
      <w:r>
        <w:rPr>
          <w:rFonts w:ascii="Times New Roman" w:hAnsi="Times New Roman"/>
          <w:caps w:val="false"/>
          <w:smallCaps w:val="false"/>
          <w:sz w:val="20"/>
        </w:rPr>
        <w:t>-CKO). These mice develop spontaneous seizures and are used by the TSC Alliance to evaluate the effectiveness and safety of novel and repurposed therapeutics in the potential treatment of TSC-related epilepsy. The study was conducted by PsychoGenics, Inc., the TSC Preclinical Consortium’s research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i/>
          <w:caps w:val="false"/>
          <w:smallCaps w:val="false"/>
          <w:sz w:val="20"/>
        </w:rPr>
        <w:t>Tsc1</w:t>
      </w:r>
      <w:r>
        <w:rPr>
          <w:rFonts w:ascii="Times New Roman" w:hAnsi="Times New Roman"/>
          <w:caps w:val="false"/>
          <w:smallCaps w:val="false"/>
          <w:sz w:val="20"/>
        </w:rPr>
        <w:t>-CKO mice were treated with several doses of simufilam. Seizure activity was monitored for approximately three weeks after onset, and simufilam was evaluated against treatment with vehicle alone. The data showed that simufilam attenuated the progression of seizure activity, with a statistically significant correlation between simufilam dose and the number of seizures by the end of the study. Not all parameters measured reached statistical significance. The Company intends to present data and analyses in an upcoming scientific conference and publication.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Based on the results of these studies, the Company filed an Investigational New Drug (IND) application with the U.S. Food and Drug Administration (FDA) in order to initiate a proof-of-concept clinical trial for simufilam in TSC-related epilepsy. On December 15, 2025, the Company received a formal letter from FDA confirming that the proposed clinical trial is on full clinical hold subject to the Company providing FDA with additional information, including additional pre-clinical data, and modifying the protocol design.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is working expeditiously to address the items identified in the letter. However, as announced on December 18, 2025, the Company no longer expects to initiate a proof-of-concept clinical trial for simufilam in TSC-related epilepsy in the first half of 2026. The updated timing for initiation of a clinical trial will depend on the Company’s ability to provide the requested information and on satisfactory completion of FDA’s review.</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License Agreement with Yale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February 26, 2025, we entered into the License Agreement with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TSC-related epilepsy and other potential indications. Pursuant to the License Agreement, we have agreed to use reasonable commercial efforts to implement a plan designed for such development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exchange for the rights acquired pursuant to the License Agreement, we paid Yale (i) a nominal upfront license fee, and agreed to pay (ii) payments upon the achievement of specified clinical, regulatory and commercial milestones, totaling up to $4.5 million and (iii) upon transfer to a third party of a regulatory priority review voucher, if issued,  a low-to-mid double digit percentage of any consideration received for such transfer. We also agreed to pay Yale tiered royalties, ranging from a low- to mid- single digit percentage, on aggregate net sales of licensed products, subject to tiered minimum annual royalty payments ranging from the low- to mid- hundreds of thousands of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earlier terminated, the License Agreement will continue on a country-by-country basis until the later of (i) the date on which the last valid claim of the license patents expires or otherwise lapses, (ii) the end of any government or regulatory exclusivity period, and (iii) 10 years following the date of first sale of licensed product in such country. We may terminate the License Agreement: (i) at our option, upon specified advance notice to Yale and (ii) if Yale commits a material breach of the License Agreement that is not cured within a specified timeframe. Yale may terminate the License Agreement under specified circumstances, including if we (i) fail to make any payment due under the License Agreement and fail to cure such non-payment within a specified timeframe, (ii) commit a breach of the License Agreement that is not cured within a specified timeframe, (iii) default on a material obligation to any creditor, unless cured within a specified timeframe, (iv) fail to obtain or maintain insurance required by the License Agreement, (v) bring or assist a patent challenge against Yale (or if a sublicensee does so). In addition, the License Agreement will terminate automatically upon the occurrence of certain bankruptcy and insolvency events involving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License Agreement includes customary confidentiality, reporting and inspection, and indemnification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yet to generate any revenues from product sales. We have an accumulated deficit of $496.1 million at December 31, 2025. These losses have resulted principally from costs incurred in connection with research and development activities, salaries and other personnel-related costs and general corporate expenses. Research and development activities include costs of preclinical and clinical studies as well as clinical supplies associated with our product candidates. Salaries and other personnel-related costs include stock-based compensation associated with options and other equity awards granted to employees and non-employees. Our operating results may fluctuate substantially from period to period as a result of the timing of preclinical activities, enrollment rates of clinical studies for our product candidates and our need for clinical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that our cash and cash equivalents at December 31, 2025, will enable us to fund our operating expenses for at least the next 12 months. In addition, we may seek in the future to fund our operations through additional public or private equity or debt financings or other sources. However, we may be unable to raise additional funds or enter into such other arrangements when needed on favorable terms or at all. If we are unable to obtain financing or reach profitability, the related lack of liquidity will have a material adverse effect on our operations and future prospects, and we may have to significantly delay, scale back or discontinue the development and commercialization of simufilam, our lead drug candidate, or delay our efforts to expand our product pipeline.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expect to continue to use significant cash resources in our operations for the next several years. Our cash requirements for operating activities and capital expenditures may increase in the future as we: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engage with, and satisfactorily respond to, requests for additional information from the FDA concerning the clinical hold on our IND application for simufilam in TSC-related epilepsy;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conduct other preclinical and clinical studies for our product candidates, including simufilam for TSC-related epilepsy;</w:t>
            </w:r>
          </w:p>
        </w:tc>
      </w:tr>
    </w:tbl>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3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seek regulatory approvals for our product candidates;</w:t>
            </w:r>
          </w:p>
        </w:tc>
      </w:tr>
    </w:tbl>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develop, formulate, manufacture and commercialize our product candidates;</w:t>
            </w:r>
          </w:p>
        </w:tc>
      </w:tr>
    </w:tbl>
    <w:tbl>
      <w:tblPr>
        <w:tblW w:w="5965" w:type="dxa"/>
        <w:jc w:val="left"/>
        <w:tblInd w:w="0" w:type="dxa"/>
        <w:tblLayout w:type="fixed"/>
        <w:tblCellMar>
          <w:top w:w="0" w:type="dxa"/>
          <w:left w:w="0" w:type="dxa"/>
          <w:bottom w:w="0" w:type="dxa"/>
          <w:right w:w="0" w:type="dxa"/>
        </w:tblCellMar>
      </w:tblPr>
      <w:tblGrid>
        <w:gridCol w:w="60"/>
        <w:gridCol w:w="170"/>
        <w:gridCol w:w="5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7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implement additional internal systems and develop new infrastructure;</w:t>
            </w:r>
          </w:p>
        </w:tc>
      </w:tr>
    </w:tbl>
    <w:tbl>
      <w:tblPr>
        <w:tblW w:w="7915" w:type="dxa"/>
        <w:jc w:val="left"/>
        <w:tblInd w:w="0" w:type="dxa"/>
        <w:tblLayout w:type="fixed"/>
        <w:tblCellMar>
          <w:top w:w="0" w:type="dxa"/>
          <w:left w:w="0" w:type="dxa"/>
          <w:bottom w:w="0" w:type="dxa"/>
          <w:right w:w="0" w:type="dxa"/>
        </w:tblCellMar>
      </w:tblPr>
      <w:tblGrid>
        <w:gridCol w:w="60"/>
        <w:gridCol w:w="170"/>
        <w:gridCol w:w="7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acquire or in-license additional products or technologies, or expand the use of our technology;</w:t>
            </w:r>
          </w:p>
        </w:tc>
      </w:tr>
    </w:tbl>
    <w:tbl>
      <w:tblPr>
        <w:tblW w:w="6055" w:type="dxa"/>
        <w:jc w:val="left"/>
        <w:tblInd w:w="0" w:type="dxa"/>
        <w:tblLayout w:type="fixed"/>
        <w:tblCellMar>
          <w:top w:w="0" w:type="dxa"/>
          <w:left w:w="0" w:type="dxa"/>
          <w:bottom w:w="0" w:type="dxa"/>
          <w:right w:w="0" w:type="dxa"/>
        </w:tblCellMar>
      </w:tblPr>
      <w:tblGrid>
        <w:gridCol w:w="60"/>
        <w:gridCol w:w="170"/>
        <w:gridCol w:w="5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8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maintain, defend and expand the scope of our intellectual property; and</w:t>
            </w:r>
          </w:p>
        </w:tc>
      </w:tr>
    </w:tbl>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expend resources related to legal proceedings and claims, including U.S. government inquiries.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Product revenue will depend on our ability to receive regulatory approvals for, and successfully market, our product candidates. If our development efforts result in regulatory approval and successful commercialization of our product candidates, we expect to generate revenue from direct sales of our drugs and/or, if we license our drugs to future collaborators, from the receipt of license fees and royalties from sales of licensed products. We conduct our research and development programs through a combination of internal and collaborative programs. We rely on arrangements with universities, certain collaborators, CDMOs, CROs and clinical research sites for a significant portion of our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Components of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focus substantially all of our research and development efforts in the development of simufilam. Research and development expenses for our investigational diagnostic product candidate, SavaDx, represented less than 1% of total research and development expenses for the periods presented. The SavaDx program was discontinued in mid-2025. The following table summarizes expenses by category for research and development efforts (in thousands):</w:t>
      </w:r>
    </w:p>
    <w:p>
      <w:pPr>
        <w:pStyle w:val="TextBody"/>
        <w:bidi w:val="0"/>
        <w:spacing w:before="0" w:after="0"/>
        <w:ind w:left="0" w:right="0" w:firstLine="360"/>
        <w:jc w:val="both"/>
        <w:rPr>
          <w:caps w:val="false"/>
          <w:smallCaps w:val="false"/>
        </w:rPr>
      </w:pPr>
      <w:r>
        <w:rPr>
          <w:caps w:val="false"/>
          <w:smallCaps w:val="false"/>
        </w:rPr>
        <w:t> </w:t>
      </w:r>
    </w:p>
    <w:tbl>
      <w:tblPr>
        <w:tblW w:w="7400" w:type="dxa"/>
        <w:jc w:val="left"/>
        <w:tblInd w:w="0" w:type="dxa"/>
        <w:tblLayout w:type="fixed"/>
        <w:tblCellMar>
          <w:top w:w="0" w:type="dxa"/>
          <w:left w:w="0" w:type="dxa"/>
          <w:bottom w:w="0" w:type="dxa"/>
          <w:right w:w="0" w:type="dxa"/>
        </w:tblCellMar>
      </w:tblPr>
      <w:tblGrid>
        <w:gridCol w:w="4895"/>
        <w:gridCol w:w="60"/>
        <w:gridCol w:w="125"/>
        <w:gridCol w:w="590"/>
        <w:gridCol w:w="60"/>
        <w:gridCol w:w="60"/>
        <w:gridCol w:w="125"/>
        <w:gridCol w:w="590"/>
        <w:gridCol w:w="60"/>
        <w:gridCol w:w="60"/>
        <w:gridCol w:w="125"/>
        <w:gridCol w:w="590"/>
        <w:gridCol w:w="6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 ended December 31,</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Phase 2 and Phase 3 clinical trials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71,087</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Pre-clinical and Phase 1 studies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6,425</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Chemical, Manufacturing and Controls costs (“CMC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2,910</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Personnel related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5,723</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2,050</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1,228</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Clinical trial costs include the costs of our CRO. CMC costs include costs related to our contract development and manufacturing organizations. Research and development expenses include compensation, contractor fees and supplies as well as allocated common costs such as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technology has been applied across certain of our portfolio of product candidates. Data, know-how, personnel, clinical results, research results and other matters related to the research and development of any one of our product candidates also relate to, and further the development of, our other product candidates. As a result, costs allocated to a specific product candidate may not necessarily reflect the actual costs surrounding research and development of such product candidate due to cross application of the foregoing.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Estimating the dates of completion of clinical development, and the costs to complete development, of our product candidates would be highly speculative and subjective. Pharmaceutical products take a significant amount of time to research, develop and commercialize. The clinical study portion of the development of a new drug alone usually spans several years. We expect research and development expense to decrease in future periods as the phase out of the Alzheimer's disease development program was completed in Q2 2025, and expenses for the TSC-related epilepsy program are expected to be significantly lower compared to those for the Alzheimer's disease program. The cost and pace of our future research and development activities are linked and subject to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preparation of our consolidated financial statements in accordance with U.S. generally accepted accounting principles requires us to make estimates and assumptions that affect the reported amounts of assets, liabilities, revenues, expenses and interest income in our consolidated financial statements and accompanying notes. We evaluate our estimates on an ongoing basis, including those estimates related to agreements and research collaborations.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significant accounting policies are described in Note 2 to our consolidated financial statements appearing elsewhere in this Annual Report on Form 10-K, and we believe that the accounting policies discussed below involve the greatest degree of complexity and exercise of significant judgments and estimates by our management. The methods, estimates and judgments that we use in applying our accounting policies have a significant impact on our results of operations and, accordingly, we believe the policies described below are the most critical for understanding and evaluating our financial condition and results of operations.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Legal and other contingencies. The Company is currently involved in various claims and legal proceedings. The Company regularly reviews the status of each significant matter and assesses its potential financial exposure. If the potential loss from any claim or legal proceeding is considered probable and the amount can be reasonably estimated, the Company accrues a liability for the estimated loss. Significant judgment is required in both the determination of probability and whether an exposure is reasonably estimable. Our judgments are subjective based on the status of the legal or regulatory proceedings, the merits of our defenses and consultation with in-house and outside legal counsel. Because of uncertainties related to these matters, accruals are based only on the best information available at the time. As additional information becomes available, the Company reassesses the potential liability related to its pending claims and legal and regulatory proceedings and may revise its estimates. Due to the inherent uncertainties of the legal and regulatory process, our judgments may be materially different than the actual outcomes. Refer to Note 12 to the Consolidated Financial Statements for further information on contingencies.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Contracts, Prepaids and Accruals. We have entered into various research and development contracts with research institutions and other third-party vendors. These agreements are generally cancelable. Related payments are recorded as research and development expenses as incurred. We record prepaids and accruals for estimated ongoing research costs. When evaluating the adequacy of prepaid expenses and accrued liabilities, we analyze progress of the studies including the phase or completion of events, invoices received and contracted costs. Significant judgments and estimates are made in determining the prepaid and accrued balances at the end of any reporting period. Actual results could differ from our estimates.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Valuation of Common Stock Warrant Labilities. The fair value of common stock warrant liabilities was determined on the January 3, 2024 warrant distribution date using a Monte Carlo valuation model. Determining the appropriate fair value model and calculating the fair value of common stock warrants requires considerable judgment. Any change in the estimates used may cause the value to be higher or lower than that reported. Subsequent to their distribution, the common stock warrants were traded on the Nasdaq Capital Market under the trading symbol "SAVAW". The fair value of common stock warrant liabilities at March 31, 2024 was determined using the closing price for the common stock warrants on that date. May 2, 2024 was the final day of trading for the common stock warrants on the Nasdaq Capital Market. Subsequent to that date and through the Warrant Redemption beginning May 7, 2024, the warrants were considered to have no value since there was no active market for trading. All changes in the fair value are recorded in the statements of operations each reporting period. Fair value changes may be significantly different from those recorded in the financial statements due to of the use of judgment and the inherent uncertainty in estimating the fair value of these instruments in the initial valuation as of January 3, 2024, the warrant distribution date.</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See Note 2. Summary of Significant Accounting Policies, in Notes to the Consolidated Financial Statements in Item 8 of Part II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Results of Operations </w:t>
      </w:r>
      <w:r>
        <w:rPr>
          <w:rFonts w:ascii="Times New Roman" w:hAnsi="Times New Roman"/>
          <w:caps w:val="false"/>
          <w:smallCaps w:val="false"/>
          <w:sz w:val="20"/>
        </w:rPr>
        <w:t xml:space="preserve">– </w:t>
      </w:r>
      <w:r>
        <w:rPr>
          <w:rFonts w:ascii="Times New Roman" w:hAnsi="Times New Roman"/>
          <w:b/>
          <w:caps w:val="false"/>
          <w:smallCaps w:val="false"/>
          <w:sz w:val="20"/>
        </w:rPr>
        <w:t>Comparison of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primarily of costs of drug development work associated with our product candidates, including:</w:t>
      </w:r>
    </w:p>
    <w:p>
      <w:pPr>
        <w:pStyle w:val="TextBody"/>
        <w:bidi w:val="0"/>
        <w:spacing w:before="0" w:after="0"/>
        <w:ind w:left="720" w:right="0" w:hanging="36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60"/>
        <w:gridCol w:w="170"/>
        <w:gridCol w:w="1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12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clinical studies,</w:t>
            </w:r>
          </w:p>
        </w:tc>
      </w:tr>
    </w:tbl>
    <w:tbl>
      <w:tblPr>
        <w:tblW w:w="1765" w:type="dxa"/>
        <w:jc w:val="left"/>
        <w:tblInd w:w="0" w:type="dxa"/>
        <w:tblLayout w:type="fixed"/>
        <w:tblCellMar>
          <w:top w:w="0" w:type="dxa"/>
          <w:left w:w="0" w:type="dxa"/>
          <w:bottom w:w="0" w:type="dxa"/>
          <w:right w:w="0" w:type="dxa"/>
        </w:tblCellMar>
      </w:tblPr>
      <w:tblGrid>
        <w:gridCol w:w="60"/>
        <w:gridCol w:w="170"/>
        <w:gridCol w:w="15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15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preclinical testing,</w:t>
            </w:r>
          </w:p>
        </w:tc>
      </w:tr>
    </w:tbl>
    <w:tbl>
      <w:tblPr>
        <w:tblW w:w="5305" w:type="dxa"/>
        <w:jc w:val="left"/>
        <w:tblInd w:w="0" w:type="dxa"/>
        <w:tblLayout w:type="fixed"/>
        <w:tblCellMar>
          <w:top w:w="0" w:type="dxa"/>
          <w:left w:w="0" w:type="dxa"/>
          <w:bottom w:w="0" w:type="dxa"/>
          <w:right w:w="0" w:type="dxa"/>
        </w:tblCellMar>
      </w:tblPr>
      <w:tblGrid>
        <w:gridCol w:w="60"/>
        <w:gridCol w:w="170"/>
        <w:gridCol w:w="5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0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clinical supplies and related formulation and design costs, and</w:t>
            </w:r>
          </w:p>
        </w:tc>
      </w:tr>
    </w:tbl>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2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compensation and other personnel-related expenses.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decreased to $26.6 million in 2025 from $69.6 million in 2024, representing a 62% decrease. This decrease was due primarily to the phase out of the Alzheimer's disease development program beginning the fourth quarter of 2024 and completed in the second quarter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expect research and development expense to decrease in future periods as the phase out of the Alzheimer's disease development program was completed in Q2 2025, and expenses for the TSC-related epilepsy program are expected to be significantly lower compared to those for the Alzheimer's disease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personnel costs, allocated expenses and other expenses for outside professional services, including legal, human resources, audit and accounting services. Personnel costs consist of salaries, bonus, benefits and stock-based compensation. Allocated expenses consist primarily of existing facility costs. We incur insurance, audit, investor relations and other administrative and professional services expenses associated with operating as a public company, including expenses related to compliance with the rules and regulations of the SEC and Nasdaq. General and administrative expense decreased to $68.8 million in 2025 from $71.8 million in 2024. The 4% decrease was due primarily to a $40.0 million SEC-related loss contingency recorded in 2024 being partially offset by $9.9 million in insurance recoveries. This compared to a $31.3 million securities litigation loss contingency and $4 million of other litigation contingencies recorded in 2025, for which there were no insurance recoveries. The change also included a $2.6 million increase in stock-based compensation expense due to new awards granted in late 2024. These increases were partially offset by a decrease in severance costs recorded in the prior year period which were not repeated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expect general and administrative expense will decrease significantly in future periods as we entered into a binding term sheet to resolve our most significant, legacy litigation in 2025. However, we expect general and administrative expense to remain high compared to historic levels due to ongoing professional fees and legal expense related to other ongoing litigation. In addition, stock-based compensation expense is expected to be higher than historic levels due to new awards granted in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was $4.6 million in 2025 compared to $8.5 million in 2024. The 46% decrease was due primarily to lower interest rates and cash balances in 2025 compared to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expect interest income to decrease significantly in 2026 compared to 2025 due to lower cash balances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Other income (loss), net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record the activities related to leasing office space to third parties in buildings we own as other income (loss), net, as leasing is not core to the Company’s operations. Other income (loss), net, was $(0.2) million during 2025 compared to $0.4 million during 2024. We expect to continue to record a modest net loss on leasing activities in 2026 due to higher vacancy rates compared to historic occupancy.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Depreciation and amortization for the office complex is included in general and administrative and research and development expense, and thus not reflected in other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Change in fair value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were no common stock warrants outstanding or change in fair value of warrants for the year ended December 31, 2025. The change in fair value of warrants was $108.2 million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2024 change was attributable to a gain on the change in fair value of our liability-classified warrants from distribution on January 3, 2024 to their redemption in May 2024. The change in fair value was primarily driven by a decrease in fair value at redemption as there was little or no market trading activity and the warrants were redeemed for a nominal payment of $0.001 per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years ended December 31, 2024 and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Refer to “Item 7. Management’s Discussion and Analysis of Financial Condition and Results of Operations—Results of Operations” in our 2024 Annual Report on Form 10-K for a discussion of the results of operations for the year ended December 31, 2024 compared to the year ended December 31, 2023.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Since inception, we have financed our operations primarily through public and private stock offerings, payments received under collaborative agreements and interest earned on our cash and cash equivalents balances. We intend to continue to use our capital resources to fund research and development activities, capital expenditures, working capital requirements and other general corporate purposes. As of December 31, 2025, cash and cash equivalents totaled $95.5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2024 Common Stock Warrant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January 3, 2024, we made a distribution of approximately 16.9 million warrants to purchase shares of our common stock to holders of record of our common stock as of the close of business on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warrant entitled the holder to purchase, at the holder’s sole expense and exclusive election, at an exercise price of $33.00 per warrant, one and one-half shares of common stock (rounded down for any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April 15, 2024, the Company announced that all outstanding warrants were to be redeemed on May 7, 2024 (the “Redemption Date”). The redemption price was equal to 1/10 of $0.01 per warrant. The warrants were exercisable at any time starting on January 3, 2024 until the business day prior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From January 3, 2024 through the Redemption Date, a total of approximately 3.8 million warrants were exercised. Gross proceeds for 2024 from the warrant distribution totaled approximately $126.3 million from the issuance of approximately 5.7 million common shares at $22.00 per share. Total net proceeds of the warrant distribution were approximately $123.6 million after deducting exercise expenses and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After the first $20 million of gross proceeds, the Company was obligated to pay a commission of 2.5% of the gross proceeds from the sale of shares of common stock from warrant exercises to the Company's financial advisor for the warrant distribution. Total cost of warrant exercises through the Redemption Date were approximately $2.7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At the Market (ATM) Common Stock Issuance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November 12, 2025, we entered into an at-the-market offering program (ATM) to sell, from time to time, shares of our common stock having an aggregate offering price of up to $50 million in common stock in transactions pursuant to a shelf registration statement that was declared effective by the U.S. Securities and Exchange Commission (SEC) on December 5, 2025. We are obligated to pay a commission of up to 3.0% of the gross proceeds from the sale of shares of common stock in the offering. We are not obligated to sell any shares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There were no common stock sales under the ATM during the year ended December 31,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Cash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sets forth a summary of the primary sources and uses of cash for each of the periods presented below (in thousands):</w:t>
      </w:r>
    </w:p>
    <w:p>
      <w:pPr>
        <w:pStyle w:val="TextBody"/>
        <w:bidi w:val="0"/>
        <w:spacing w:before="0" w:after="0"/>
        <w:ind w:left="0" w:right="0" w:firstLine="360"/>
        <w:jc w:val="both"/>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220"/>
        <w:gridCol w:w="60"/>
        <w:gridCol w:w="125"/>
        <w:gridCol w:w="650"/>
        <w:gridCol w:w="80"/>
        <w:gridCol w:w="60"/>
        <w:gridCol w:w="125"/>
        <w:gridCol w:w="755"/>
        <w:gridCol w:w="80"/>
        <w:gridCol w:w="60"/>
        <w:gridCol w:w="125"/>
        <w:gridCol w:w="650"/>
        <w:gridCol w:w="8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2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2,560</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(79,879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$32.3 million for the year ended December 31, 2025, resulting primarily from the net loss reported of $91.0 million as well as a decrease in accrued development expenses of $2.1 million. This change was partially offset by an increase in accounts payable and other accrued expenses of $34.0 million and a decrease in prepaid and other assets of $6.1 million. There was also a non-cash adjustment for stock compensation expense of $19.6 million and depreciation and amortization of $0.9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$116.9 million for the year ended December 31, 2024, resulting primarily from the net loss reported of $24.3 million, change in fair value of warrants of $108.2 million and a decrease in accounts payable and other accrued expenses of $2.9 million. This change was partially offset by stock compensation expense of $16.3 million, depreciation and amortization of $1.1 million and an increase in accrued compensation and benefits of $1.2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during the year ended December 31, 2025 was $0.6 million primarily for tenant improvements for new lessees.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during the year ended December 31, 2024 was $0.1 million for computers and equipment and other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during the year ended December 31, 2025 was $0.2 million for costs to establish the 2025 ATM offering program, partially offset from the exercise of stock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during the year ended December 31, 2024 was $124.5 million including $123.6 million of net proceeds from the exercise of warrants and $0.9 million from the exercise of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Use of Cash </w:t>
      </w:r>
      <w:r>
        <w:rPr>
          <w:rFonts w:ascii="Times New Roman" w:hAnsi="Times New Roman"/>
          <w:caps w:val="false"/>
          <w:smallCaps w:val="false"/>
          <w:sz w:val="20"/>
        </w:rPr>
        <w:t xml:space="preserve">– </w:t>
      </w:r>
      <w:r>
        <w:rPr>
          <w:rFonts w:ascii="Times New Roman" w:hAnsi="Times New Roman"/>
          <w:b/>
          <w:i/>
          <w:caps w:val="false"/>
          <w:smallCaps w:val="false"/>
          <w:sz w:val="20"/>
        </w:rPr>
        <w:t>Comparison of the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Refer to “Item 7. Management’s Discussion and Analysis of Financial Condition and Results of Operations—Results of Operations” in our 2024 Annual Report on Form 10-K for a discussion of use of cash for the year ended December 31, 2024 compared to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Property and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own an office complex in Austin, Texas, a portion of which serves as our corporate headquarters. Maintenance, physical facilities, leasing, property management and other key responsibilities related to property ownership are outsourced to professional real-estate managers. The office complex measures approximately 90,000 rentable square feet. At December 31, 2025, we occupied approximately 25% of the property with the remainder either leased or available for lease to third parties. We expect to record a modest net loss on leasing activities in 2026 due to higher vacancy rates compared to historic occupancy.</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Future Funding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an accumulated deficit of $496.1 million at December 31, 2025. We expect our cash requirements to be significant in the future. The amount and timing of our future cash requirements will depend on regulatory and market acceptance of our product candidates and the resources we devote to researching and developing, formulating, manufacturing, commercializing and supporting our products. We believe that our current resources should be sufficient to fund our operations for at least the next 12 months. We may seek additional future funding through public or private financing in the future, if such funding is available and on terms acceptable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we raise additional funds by issuing equity or equity-linked securities, our stockholders will experience dilution, which may be substantial. If we raise additional funds through the issuance of preferred equity securities or through debt financing, the terms of such future preferred equity or debt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to others rights to our drug candidates in certain territories or indications that we would prefer to develop and commercialize ourselves.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3" w:name="item7a"/>
      <w:bookmarkEnd w:id="13"/>
      <w:r>
        <w:rPr>
          <w:rFonts w:ascii="Times New Roman" w:hAnsi="Times New Roman"/>
          <w:b/>
          <w:caps w:val="false"/>
          <w:smallCaps w:val="false"/>
          <w:sz w:val="20"/>
        </w:rPr>
        <w:t>Item 7A.</w:t>
      </w:r>
      <w:r>
        <w:rPr>
          <w:rFonts w:ascii="Times New Roman" w:hAnsi="Times New Roman"/>
          <w:caps w:val="false"/>
          <w:smallCaps w:val="false"/>
          <w:sz w:val="20"/>
        </w:rPr>
        <w:t>    </w:t>
      </w:r>
      <w:r>
        <w:rPr>
          <w:rFonts w:ascii="Times New Roman" w:hAnsi="Times New Roman"/>
          <w:b/>
          <w:i/>
          <w:caps w:val="false"/>
          <w:smallCaps w:val="false"/>
          <w:sz w:val="20"/>
        </w:rPr>
        <w:t>Quantitative and Qualitative Disclosures about Market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exposed to market risks in the ordinary course of our business, primarily related to interest rate sensitivities and, to a lesser extent, currency fluctuations related to our clinical operations outside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Sensitivity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exposed to market risk related to changes in interest rates. We had cash and cash equivalents of $95.5 million as of December 31, 2025, which consisted primarily of U.S. Treasury securities and money market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primary objective of our investment activities is to preserve capital to fund our operations. We also seek to maximize income from our investments without assuming significant risk. To achieve our objectives, we maintain investment vehicles with high credit quality and short-term duration, in accordance with our board-approved investment policy. Such interest-earning instruments carry a degree of interest rate risk. However, due to the generally short-term maturities and low risk profile of our cash equivalents, an immediate 100 basis point increase or decrease in interest rates during any of the periods presented would increase or decrease our annual net loss by less than $1.3 million in our consolidated financial statements.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4" w:name="item8"/>
      <w:bookmarkEnd w:id="14"/>
      <w:r>
        <w:rPr>
          <w:rFonts w:ascii="Times New Roman" w:hAnsi="Times New Roman"/>
          <w:b/>
          <w:caps w:val="false"/>
          <w:smallCaps w:val="false"/>
          <w:sz w:val="20"/>
        </w:rPr>
        <w:t>Item 8.</w:t>
      </w:r>
      <w:r>
        <w:rPr>
          <w:rFonts w:ascii="Times New Roman" w:hAnsi="Times New Roman"/>
          <w:caps w:val="false"/>
          <w:smallCaps w:val="false"/>
          <w:sz w:val="20"/>
        </w:rPr>
        <w:t>    </w:t>
      </w:r>
      <w:r>
        <w:rPr>
          <w:rFonts w:ascii="Times New Roman" w:hAnsi="Times New Roman"/>
          <w:b/>
          <w:i/>
          <w:caps w:val="false"/>
          <w:smallCaps w:val="false"/>
          <w:sz w:val="20"/>
        </w:rPr>
        <w:t>Consolidated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6125"/>
        <w:gridCol w:w="440"/>
      </w:tblGrid>
      <w:tr>
        <w:trPr/>
        <w:tc>
          <w:tcPr>
            <w:tcW w:w="61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6125"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rPr>
                <w:t>Report of Independent Registered Public Accounting Firm</w:t>
              </w:r>
            </w:hyperlink>
            <w:r>
              <w:rPr>
                <w:rFonts w:ascii="Times New Roman" w:hAnsi="Times New Roman"/>
                <w:caps w:val="false"/>
                <w:smallCaps w:val="false"/>
                <w:sz w:val="20"/>
              </w:rPr>
              <w:t> (PCAOB ID: 42)</w:t>
            </w:r>
          </w:p>
        </w:tc>
        <w:tc>
          <w:tcPr>
            <w:tcW w:w="440" w:type="dxa"/>
            <w:tcBorders/>
            <w:vAlign w:val="center"/>
          </w:tcPr>
          <w:p>
            <w:pPr>
              <w:pStyle w:val="TableContents"/>
              <w:bidi w:val="0"/>
              <w:spacing w:before="0" w:after="283"/>
              <w:jc w:val="center"/>
              <w:rPr/>
            </w:pPr>
            <w:hyperlink w:anchor="report">
              <w:r>
                <w:rPr>
                  <w:rStyle w:val="InternetLink"/>
                </w:rPr>
                <w:t>75</w:t>
              </w:r>
            </w:hyperlink>
          </w:p>
        </w:tc>
      </w:tr>
      <w:tr>
        <w:trPr/>
        <w:tc>
          <w:tcPr>
            <w:tcW w:w="6125" w:type="dxa"/>
            <w:tcBorders/>
            <w:vAlign w:val="center"/>
          </w:tcPr>
          <w:p>
            <w:pPr>
              <w:pStyle w:val="TableContents"/>
              <w:bidi w:val="0"/>
              <w:spacing w:before="0" w:after="0"/>
              <w:ind w:left="0" w:right="0" w:hanging="0"/>
              <w:jc w:val="both"/>
              <w:rPr/>
            </w:pPr>
            <w:hyperlink w:anchor="balance_sheet">
              <w:r>
                <w:rPr>
                  <w:rStyle w:val="InternetLink"/>
                  <w:rFonts w:ascii="Times New Roman" w:hAnsi="Times New Roman"/>
                  <w:caps w:val="false"/>
                  <w:smallCaps w:val="false"/>
                  <w:sz w:val="20"/>
                </w:rPr>
                <w:t>Consolidated Balance Sheets</w:t>
              </w:r>
            </w:hyperlink>
          </w:p>
        </w:tc>
        <w:tc>
          <w:tcPr>
            <w:tcW w:w="440" w:type="dxa"/>
            <w:tcBorders/>
            <w:vAlign w:val="center"/>
          </w:tcPr>
          <w:p>
            <w:pPr>
              <w:pStyle w:val="TableContents"/>
              <w:bidi w:val="0"/>
              <w:spacing w:before="0" w:after="283"/>
              <w:jc w:val="center"/>
              <w:rPr/>
            </w:pPr>
            <w:hyperlink w:anchor="balance_sheet">
              <w:r>
                <w:rPr>
                  <w:rStyle w:val="InternetLink"/>
                </w:rPr>
                <w:t>77</w:t>
              </w:r>
            </w:hyperlink>
          </w:p>
        </w:tc>
      </w:tr>
      <w:tr>
        <w:trPr/>
        <w:tc>
          <w:tcPr>
            <w:tcW w:w="6125" w:type="dxa"/>
            <w:tcBorders/>
            <w:vAlign w:val="center"/>
          </w:tcPr>
          <w:p>
            <w:pPr>
              <w:pStyle w:val="TableContents"/>
              <w:bidi w:val="0"/>
              <w:spacing w:before="0" w:after="0"/>
              <w:ind w:left="0" w:right="0" w:hanging="0"/>
              <w:jc w:val="both"/>
              <w:rPr/>
            </w:pPr>
            <w:hyperlink w:anchor="state_of_op">
              <w:r>
                <w:rPr>
                  <w:rStyle w:val="InternetLink"/>
                  <w:rFonts w:ascii="Times New Roman" w:hAnsi="Times New Roman"/>
                  <w:caps w:val="false"/>
                  <w:smallCaps w:val="false"/>
                  <w:sz w:val="20"/>
                </w:rPr>
                <w:t>Consolidated Statements of Operations</w:t>
              </w:r>
            </w:hyperlink>
          </w:p>
        </w:tc>
        <w:tc>
          <w:tcPr>
            <w:tcW w:w="440" w:type="dxa"/>
            <w:tcBorders/>
            <w:vAlign w:val="center"/>
          </w:tcPr>
          <w:p>
            <w:pPr>
              <w:pStyle w:val="TableContents"/>
              <w:bidi w:val="0"/>
              <w:spacing w:before="0" w:after="283"/>
              <w:jc w:val="center"/>
              <w:rPr/>
            </w:pPr>
            <w:hyperlink w:anchor="state_of_op">
              <w:r>
                <w:rPr>
                  <w:rStyle w:val="InternetLink"/>
                </w:rPr>
                <w:t>78</w:t>
              </w:r>
            </w:hyperlink>
          </w:p>
        </w:tc>
      </w:tr>
      <w:tr>
        <w:trPr/>
        <w:tc>
          <w:tcPr>
            <w:tcW w:w="6125" w:type="dxa"/>
            <w:tcBorders/>
            <w:vAlign w:val="center"/>
          </w:tcPr>
          <w:p>
            <w:pPr>
              <w:pStyle w:val="TableContents"/>
              <w:bidi w:val="0"/>
              <w:spacing w:before="0" w:after="0"/>
              <w:ind w:left="0" w:right="0" w:hanging="0"/>
              <w:jc w:val="both"/>
              <w:rPr/>
            </w:pPr>
            <w:hyperlink w:anchor="equity">
              <w:r>
                <w:rPr>
                  <w:rStyle w:val="InternetLink"/>
                  <w:rFonts w:ascii="Times New Roman" w:hAnsi="Times New Roman"/>
                  <w:caps w:val="false"/>
                  <w:smallCaps w:val="false"/>
                  <w:sz w:val="20"/>
                </w:rPr>
                <w:t>Consolidated Statements of Stockholders</w:t>
              </w:r>
            </w:hyperlink>
            <w:hyperlink w:anchor="equity">
              <w:r>
                <w:rPr>
                  <w:rStyle w:val="InternetLink"/>
                  <w:rFonts w:ascii="Times New Roman" w:hAnsi="Times New Roman"/>
                  <w:caps w:val="false"/>
                  <w:smallCaps w:val="false"/>
                  <w:sz w:val="20"/>
                  <w:u w:val="single"/>
                </w:rPr>
                <w:t>’ Equity</w:t>
              </w:r>
            </w:hyperlink>
          </w:p>
        </w:tc>
        <w:tc>
          <w:tcPr>
            <w:tcW w:w="440" w:type="dxa"/>
            <w:tcBorders/>
            <w:vAlign w:val="center"/>
          </w:tcPr>
          <w:p>
            <w:pPr>
              <w:pStyle w:val="TableContents"/>
              <w:bidi w:val="0"/>
              <w:spacing w:before="0" w:after="283"/>
              <w:jc w:val="center"/>
              <w:rPr/>
            </w:pPr>
            <w:hyperlink w:anchor="equity">
              <w:r>
                <w:rPr>
                  <w:rStyle w:val="InternetLink"/>
                </w:rPr>
                <w:t>79</w:t>
              </w:r>
            </w:hyperlink>
          </w:p>
        </w:tc>
      </w:tr>
      <w:tr>
        <w:trPr/>
        <w:tc>
          <w:tcPr>
            <w:tcW w:w="6125" w:type="dxa"/>
            <w:tcBorders/>
            <w:vAlign w:val="center"/>
          </w:tcPr>
          <w:p>
            <w:pPr>
              <w:pStyle w:val="TableContents"/>
              <w:bidi w:val="0"/>
              <w:spacing w:before="0" w:after="0"/>
              <w:ind w:left="0" w:right="0" w:hanging="0"/>
              <w:jc w:val="both"/>
              <w:rPr/>
            </w:pPr>
            <w:hyperlink w:anchor="cash_flows">
              <w:r>
                <w:rPr>
                  <w:rStyle w:val="InternetLink"/>
                  <w:rFonts w:ascii="Times New Roman" w:hAnsi="Times New Roman"/>
                  <w:caps w:val="false"/>
                  <w:smallCaps w:val="false"/>
                  <w:sz w:val="20"/>
                </w:rPr>
                <w:t>Consolidated Statements of Cash Flows</w:t>
              </w:r>
            </w:hyperlink>
          </w:p>
        </w:tc>
        <w:tc>
          <w:tcPr>
            <w:tcW w:w="440" w:type="dxa"/>
            <w:tcBorders/>
            <w:vAlign w:val="center"/>
          </w:tcPr>
          <w:p>
            <w:pPr>
              <w:pStyle w:val="TableContents"/>
              <w:bidi w:val="0"/>
              <w:spacing w:before="0" w:after="283"/>
              <w:jc w:val="center"/>
              <w:rPr/>
            </w:pPr>
            <w:hyperlink w:anchor="cash_flows">
              <w:r>
                <w:rPr>
                  <w:rStyle w:val="InternetLink"/>
                </w:rPr>
                <w:t>80</w:t>
              </w:r>
            </w:hyperlink>
          </w:p>
        </w:tc>
      </w:tr>
      <w:tr>
        <w:trPr/>
        <w:tc>
          <w:tcPr>
            <w:tcW w:w="6125" w:type="dxa"/>
            <w:tcBorders/>
            <w:vAlign w:val="center"/>
          </w:tcPr>
          <w:p>
            <w:pPr>
              <w:pStyle w:val="TableContents"/>
              <w:bidi w:val="0"/>
              <w:spacing w:before="0" w:after="0"/>
              <w:ind w:left="0" w:right="0" w:hanging="0"/>
              <w:jc w:val="both"/>
              <w:rPr/>
            </w:pPr>
            <w:hyperlink w:anchor="notes">
              <w:r>
                <w:rPr>
                  <w:rStyle w:val="InternetLink"/>
                  <w:rFonts w:ascii="Times New Roman" w:hAnsi="Times New Roman"/>
                  <w:caps w:val="false"/>
                  <w:smallCaps w:val="false"/>
                  <w:sz w:val="20"/>
                </w:rPr>
                <w:t>Notes to Consolidated Financial Statements</w:t>
              </w:r>
            </w:hyperlink>
          </w:p>
        </w:tc>
        <w:tc>
          <w:tcPr>
            <w:tcW w:w="440" w:type="dxa"/>
            <w:tcBorders/>
            <w:vAlign w:val="center"/>
          </w:tcPr>
          <w:p>
            <w:pPr>
              <w:pStyle w:val="TableContents"/>
              <w:bidi w:val="0"/>
              <w:spacing w:before="0" w:after="283"/>
              <w:jc w:val="center"/>
              <w:rPr/>
            </w:pPr>
            <w:hyperlink w:anchor="notes">
              <w:r>
                <w:rPr>
                  <w:rStyle w:val="InternetLink"/>
                </w:rPr>
                <w:t>81</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5" w:name="report"/>
      <w:bookmarkEnd w:id="15"/>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Stockholders and the Board of Directors of Filana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Filana Therapeutics, Inc. (the Company) (formerly known as Cassava Sciences, Inc.) as of December 31, 2025 and 2024, the related consolidated statements of operations,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Audit Matter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54"/>
        <w:gridCol w:w="8951"/>
      </w:tblGrid>
      <w:tr>
        <w:trPr/>
        <w:tc>
          <w:tcPr>
            <w:tcW w:w="1254"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Loss Contingencies</w:t>
            </w:r>
          </w:p>
        </w:tc>
      </w:tr>
      <w:tr>
        <w:trPr/>
        <w:tc>
          <w:tcPr>
            <w:tcW w:w="1254"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r>
      <w:tr>
        <w:trPr/>
        <w:tc>
          <w:tcPr>
            <w:tcW w:w="1254"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Description of the Matter</w:t>
            </w:r>
          </w:p>
        </w:tc>
        <w:tc>
          <w:tcPr>
            <w:tcW w:w="89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subject to lawsuits, claims, allegations, and investigations regarding the Company’s terminated clinical trials related to simufilam and SavaDx. As described in Note 12 to the consolidated financial statements, such lawsuits, claims, allegations and investigations can have an adverse impact on the Company and its consolidated financial statements. During the year ended December 31, 2025, the Company recorded loss contingencies of $35.25 million, for certain of its legal matters described in Note 12. With respect to the remaining matters described in Note 12 regarding simufilam and SavaDx, the Company believes that the likelihood of an unfavorable outcome is not probable, however, it is reasonably possible that the Company may incur a loss. For those matters, the Company is unable to reasonably estimate the amount or range of potential loss at December 31, 2025.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Auditing management’s accounting for, and disclosure of, loss contingencies related to the lawsuits, claims, allegations and investigations was challenging because management’s evaluation of the likelihood of loss required judgment.</w:t>
            </w:r>
          </w:p>
        </w:tc>
      </w:tr>
      <w:tr>
        <w:trPr/>
        <w:tc>
          <w:tcPr>
            <w:tcW w:w="1254"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pPr>
            <w:r>
              <w:rPr/>
              <w:t> </w:t>
            </w:r>
          </w:p>
        </w:tc>
      </w:tr>
      <w:tr>
        <w:trPr/>
        <w:tc>
          <w:tcPr>
            <w:tcW w:w="1254"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How We Addressed the Matter in Our Audit</w:t>
            </w:r>
          </w:p>
        </w:tc>
        <w:tc>
          <w:tcPr>
            <w:tcW w:w="89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 procedures included gaining an understanding of the status of ongoing lawsuits and investigations, reading the meeting minutes of the board of directors and of the committees of the board of directors, reading summaries of the proceedings and related correspondence. We also obtained executed and pending settlement agreements, requested letters from internal and external legal counsel, inquired of internal and external legal counsel for developments related to the lawsuits, claims, allegations and investigations, vouched payments to third party evidence and obtained written representations from the Company on these matters. We also evaluated the Company’s disclosures in relation to these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served as the Company’s auditor since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Austin,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0"/>
        </w:rPr>
      </w:pPr>
      <w:bookmarkStart w:id="16" w:name="balance_sheet"/>
      <w:bookmarkEnd w:id="16"/>
      <w:r>
        <w:rPr>
          <w:rFonts w:ascii="Times New Roman" w:hAnsi="Times New Roman"/>
          <w:b/>
          <w:sz w:val="20"/>
        </w:rPr>
        <w:t>FILANA THERAPEUTICS, INC.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 except share and par value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165"/>
        <w:gridCol w:w="60"/>
        <w:gridCol w:w="125"/>
        <w:gridCol w:w="755"/>
        <w:gridCol w:w="80"/>
        <w:gridCol w:w="60"/>
        <w:gridCol w:w="125"/>
        <w:gridCol w:w="755"/>
        <w:gridCol w:w="80"/>
      </w:tblGrid>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0125" w:type="dxa"/>
            <w:gridSpan w:val="8"/>
            <w:tcBorders/>
            <w:shd w:fill="CCEEFF" w:val="clear"/>
            <w:vAlign w:val="center"/>
          </w:tcPr>
          <w:p>
            <w:pPr>
              <w:pStyle w:val="TableContents"/>
              <w:bidi w:val="0"/>
              <w:spacing w:before="0" w:after="0"/>
              <w:ind w:left="180" w:right="0" w:hanging="180"/>
              <w:jc w:val="center"/>
              <w:rPr/>
            </w:pPr>
            <w:r>
              <w:rPr>
                <w:rStyle w:val="Emphasis"/>
                <w:rFonts w:ascii="Times New Roman" w:hAnsi="Times New Roman"/>
                <w:b/>
                <w:caps w:val="false"/>
                <w:smallCaps w:val="false"/>
                <w:sz w:val="20"/>
              </w:rPr>
              <w:t>ASSETS</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128,574</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7,958</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136,532</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21,001</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157,533</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0125" w:type="dxa"/>
            <w:gridSpan w:val="8"/>
            <w:tcBorders/>
            <w:shd w:fill="CCEEFF" w:val="clear"/>
            <w:vAlign w:val="center"/>
          </w:tcPr>
          <w:p>
            <w:pPr>
              <w:pStyle w:val="TableContents"/>
              <w:bidi w:val="0"/>
              <w:spacing w:before="0" w:after="0"/>
              <w:ind w:left="180" w:right="0" w:hanging="180"/>
              <w:jc w:val="center"/>
              <w:rPr/>
            </w:pPr>
            <w:r>
              <w:rPr>
                <w:rStyle w:val="Emphasis"/>
                <w:rFonts w:ascii="Times New Roman" w:hAnsi="Times New Roman"/>
                <w:b/>
                <w:caps w:val="false"/>
                <w:smallCaps w:val="false"/>
                <w:sz w:val="20"/>
              </w:rPr>
              <w:t>LIABILITIES AND STOCKHOLDERS' EQUITY</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 and other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7,654</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Accrued development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2,440</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11,750</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11,829</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Commitments and contingencies (Notes 10, 11 and 12)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$0.001 par value; 10,000,000 shares authorized, none issued and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$0.001 par value; 120,000,000 shares authorized; 48,307,896 and 48,203,179 shares issued and outstanding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550,767</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(496,084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(405,111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6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145,704</w:t>
            </w:r>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157,533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bookmarkStart w:id="17" w:name="state_of_op"/>
      <w:bookmarkEnd w:id="17"/>
      <w:r>
        <w:rPr>
          <w:rFonts w:ascii="Times New Roman" w:hAnsi="Times New Roman"/>
          <w:b/>
          <w:sz w:val="20"/>
        </w:rPr>
        <w:t>FILANA THERAPEUTICS, INC.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 except per share data)</w:t>
      </w:r>
    </w:p>
    <w:p>
      <w:pPr>
        <w:pStyle w:val="TextBody"/>
        <w:bidi w:val="0"/>
        <w:spacing w:before="0" w:after="0"/>
        <w:ind w:left="0" w:right="0" w:hanging="0"/>
        <w:jc w:val="center"/>
        <w:rPr/>
      </w:pPr>
      <w:r>
        <w:rPr/>
        <w:t> </w:t>
      </w:r>
    </w:p>
    <w:tbl>
      <w:tblPr>
        <w:tblW w:w="7520" w:type="dxa"/>
        <w:jc w:val="left"/>
        <w:tblInd w:w="0" w:type="dxa"/>
        <w:tblLayout w:type="fixed"/>
        <w:tblCellMar>
          <w:top w:w="0" w:type="dxa"/>
          <w:left w:w="0" w:type="dxa"/>
          <w:bottom w:w="0" w:type="dxa"/>
          <w:right w:w="0" w:type="dxa"/>
        </w:tblCellMar>
      </w:tblPr>
      <w:tblGrid>
        <w:gridCol w:w="4565"/>
        <w:gridCol w:w="60"/>
        <w:gridCol w:w="125"/>
        <w:gridCol w:w="650"/>
        <w:gridCol w:w="80"/>
        <w:gridCol w:w="60"/>
        <w:gridCol w:w="125"/>
        <w:gridCol w:w="755"/>
        <w:gridCol w:w="80"/>
        <w:gridCol w:w="60"/>
        <w:gridCol w:w="125"/>
        <w:gridCol w:w="755"/>
        <w:gridCol w:w="80"/>
      </w:tblGrid>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89,423</w:t>
            </w:r>
          </w:p>
        </w:tc>
        <w:tc>
          <w:tcPr>
            <w:tcW w:w="8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16,534</w:t>
            </w:r>
          </w:p>
        </w:tc>
        <w:tc>
          <w:tcPr>
            <w:tcW w:w="8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105,957</w:t>
            </w:r>
          </w:p>
        </w:tc>
        <w:tc>
          <w:tcPr>
            <w:tcW w:w="8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(141,446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(105,957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7,833</w:t>
            </w:r>
          </w:p>
        </w:tc>
        <w:tc>
          <w:tcPr>
            <w:tcW w:w="8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income (loss),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5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from change in fair value of warrant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108,183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45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(97,217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Shares used in computing net loss per share,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41,932</w:t>
            </w:r>
          </w:p>
        </w:tc>
        <w:tc>
          <w:tcPr>
            <w:tcW w:w="8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share,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(0.53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Numerator,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(90,973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(24,342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(97,217</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5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 for change in fair value of warrant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(43,793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45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Adjusted numerator,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(90,973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(68,135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(97,217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5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Shares used in computing net loss per share,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41,932</w:t>
            </w:r>
          </w:p>
        </w:tc>
        <w:tc>
          <w:tcPr>
            <w:tcW w:w="8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per share,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bookmarkStart w:id="18" w:name="equity"/>
      <w:bookmarkEnd w:id="18"/>
      <w:r>
        <w:rPr>
          <w:rFonts w:ascii="Times New Roman" w:hAnsi="Times New Roman"/>
          <w:b/>
          <w:sz w:val="20"/>
        </w:rPr>
        <w:t>FILANA THERAPEUTICS, INC.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STOCKHOLDERS' EQUITY</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 except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456"/>
        <w:gridCol w:w="60"/>
        <w:gridCol w:w="60"/>
        <w:gridCol w:w="950"/>
        <w:gridCol w:w="60"/>
        <w:gridCol w:w="60"/>
        <w:gridCol w:w="228"/>
        <w:gridCol w:w="478"/>
        <w:gridCol w:w="60"/>
        <w:gridCol w:w="60"/>
        <w:gridCol w:w="161"/>
        <w:gridCol w:w="984"/>
        <w:gridCol w:w="80"/>
        <w:gridCol w:w="60"/>
        <w:gridCol w:w="158"/>
        <w:gridCol w:w="957"/>
        <w:gridCol w:w="80"/>
        <w:gridCol w:w="60"/>
        <w:gridCol w:w="156"/>
        <w:gridCol w:w="954"/>
        <w:gridCol w:w="83"/>
      </w:tblGrid>
      <w:tr>
        <w:trPr/>
        <w:tc>
          <w:tcPr>
            <w:tcW w:w="4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41,735,557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227,539</w:t>
            </w:r>
          </w:p>
        </w:tc>
        <w:tc>
          <w:tcPr>
            <w:tcW w:w="83"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for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4,493</w:t>
            </w:r>
          </w:p>
        </w:tc>
        <w:tc>
          <w:tcPr>
            <w:tcW w:w="83"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for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pursuant to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w:t>
            </w:r>
          </w:p>
        </w:tc>
        <w:tc>
          <w:tcPr>
            <w:tcW w:w="83"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42,236,919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(380,769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137,468</w:t>
            </w:r>
          </w:p>
        </w:tc>
        <w:tc>
          <w:tcPr>
            <w:tcW w:w="83"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for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15,054</w:t>
            </w:r>
          </w:p>
        </w:tc>
        <w:tc>
          <w:tcPr>
            <w:tcW w:w="83"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for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(113,363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pursuant to warrant exercises, net of exercise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5,739,247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123,552</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Derecognition of warrant liabilities upon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5,180</w:t>
            </w:r>
          </w:p>
        </w:tc>
        <w:tc>
          <w:tcPr>
            <w:tcW w:w="83"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pursuant to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48,203,179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145,704</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for: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for 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18,776</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for non-employees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4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3" w:type="dxa"/>
            <w:tcBorders/>
            <w:shd w:fill="CCEEFF" w:val="clear"/>
            <w:vAlign w:val="center"/>
          </w:tcPr>
          <w:p>
            <w:pPr>
              <w:pStyle w:val="TableContents"/>
              <w:bidi w:val="0"/>
              <w:spacing w:before="0" w:after="283"/>
              <w:jc w:val="left"/>
              <w:rPr/>
            </w:pPr>
            <w:r>
              <w:rPr/>
              <w:t> </w:t>
            </w:r>
          </w:p>
        </w:tc>
      </w:tr>
      <w:tr>
        <w:trPr/>
        <w:tc>
          <w:tcPr>
            <w:tcW w:w="44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pursuant to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47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3" w:type="dxa"/>
            <w:tcBorders/>
            <w:shd w:fill="FFFFFF" w:val="clear"/>
            <w:vAlign w:val="center"/>
          </w:tcPr>
          <w:p>
            <w:pPr>
              <w:pStyle w:val="TableContents"/>
              <w:bidi w:val="0"/>
              <w:spacing w:before="0" w:after="283"/>
              <w:jc w:val="left"/>
              <w:rPr/>
            </w:pPr>
            <w:r>
              <w:rPr/>
              <w:t> </w:t>
            </w:r>
          </w:p>
        </w:tc>
      </w:tr>
      <w:tr>
        <w:trPr/>
        <w:tc>
          <w:tcPr>
            <w:tcW w:w="44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48,307,896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74,403</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bookmarkStart w:id="19" w:name="cash_flows"/>
      <w:bookmarkEnd w:id="19"/>
      <w:r>
        <w:rPr>
          <w:rFonts w:ascii="Times New Roman" w:hAnsi="Times New Roman"/>
          <w:b/>
          <w:sz w:val="20"/>
        </w:rPr>
        <w:t>FILANA THERAPEUTICS, INC.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before="0" w:after="0"/>
        <w:ind w:left="0" w:right="0" w:hanging="0"/>
        <w:jc w:val="left"/>
        <w:rPr/>
      </w:pPr>
      <w:r>
        <w:rPr/>
        <w:t> </w:t>
      </w:r>
    </w:p>
    <w:tbl>
      <w:tblPr>
        <w:tblW w:w="8870" w:type="dxa"/>
        <w:jc w:val="left"/>
        <w:tblInd w:w="0" w:type="dxa"/>
        <w:tblLayout w:type="fixed"/>
        <w:tblCellMar>
          <w:top w:w="0" w:type="dxa"/>
          <w:left w:w="0" w:type="dxa"/>
          <w:bottom w:w="0" w:type="dxa"/>
          <w:right w:w="0" w:type="dxa"/>
        </w:tblCellMar>
      </w:tblPr>
      <w:tblGrid>
        <w:gridCol w:w="5930"/>
        <w:gridCol w:w="60"/>
        <w:gridCol w:w="125"/>
        <w:gridCol w:w="695"/>
        <w:gridCol w:w="80"/>
        <w:gridCol w:w="60"/>
        <w:gridCol w:w="125"/>
        <w:gridCol w:w="755"/>
        <w:gridCol w:w="80"/>
        <w:gridCol w:w="60"/>
        <w:gridCol w:w="125"/>
        <w:gridCol w:w="695"/>
        <w:gridCol w:w="80"/>
      </w:tblGrid>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(90,973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4,586</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Gain from 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(108,183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1,084</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446</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1,714</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 and other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6,896</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Accrued development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(116,929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Proceeds from 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2,560</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exercise of common stock warrants, net of exercise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2025 ATM offering program costs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5930"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2,560</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(33,072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(79,879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128,574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201,015</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95,502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128,574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121,136</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Non-cash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warrants resulting in recognition of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113,363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Derecognition of warrant liabilities upon exercise of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b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0" w:name="notes"/>
      <w:bookmarkEnd w:id="20"/>
      <w:r>
        <w:rPr>
          <w:rFonts w:ascii="Times New Roman" w:hAnsi="Times New Roman"/>
          <w:b/>
          <w:caps w:val="false"/>
          <w:smallCaps w:val="false"/>
          <w:sz w:val="20"/>
        </w:rPr>
        <w:t>FILANA THERAPEUTICS,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General, Liquidity and 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Filana Therapeutics, Inc. (formerly Cassava Sciences, Inc.) and its wholly-owned subsidiary (collectively referred to as the “Company”) discovers and develops proprietary pharmaceutical product candidates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offer significant improvements to patients and healthcare professionals. The Company generally focuses its discovery and product development efforts on disorders of the nervous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of Consolidation</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the Company and its wholly-owned subsidiary. All intercompany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Liquidity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has incurred significant net losses and negative cash flows since inception, and as a result has an accumulated deficit of $496.1 million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expects its cash requirements to be significant in the future. The amount and timing of the Company’s future cash requirements will depend on regulatory and market acceptance of its product candidates and the resources it devotes to researching and developing, formulating, manufacturing, commercializing and supporting its products.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seek additional funding through public or private financing in the future, if such funding is available and on terms acceptable to the Company.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additional financing will be available on favorable terms, or at all. However, management believes that the current working capital position will be sufficient to meet the Company’s working capital needs for at least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makes estimates and assumptions in preparing its consolidated financial statements in conformity with accounting principles generally accepted in the United States. These estimates and assumptions affect the reported amounts of assets and liabilities and disclosure of contingent assets and liabilities at the date of the consolidated financial statements and the reported amount of expenses incurred during the reporting period. The Company evaluates its estimates on an ongoing basis, including those estimates related to legal liabilities, common stock warrant liabilities, stock-based compensation, clinical trials and manufacturing agreements. Actual results could differ from these estimates and assumptions.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and Cash Equivalents and Concentration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invests in cash and cash equivalents. The Company considers highly-liquid financial instruments with original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to be cash equivalents. Highly liquid investments that are considered cash equivalents include money market accounts and funds, certificates of deposit and U.S. Treasury securities. The Company maintains its cash and cash equivalents at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financial institution.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Fair Value Measurements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recognizes financial instruments in accordance with the authoritative guidance on fair value measurements and disclosures for financial assets and liabilities. This guidance defines fair value, establishes a framework for measuring fair value in accordance with GAAP, and expands disclosures about fair value measurements. The guidance also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 which prioritizes the inputs used in measuring fair value. These tiers include:</w:t>
      </w:r>
    </w:p>
    <w:p>
      <w:pPr>
        <w:pStyle w:val="TextBody"/>
        <w:bidi w:val="0"/>
        <w:spacing w:before="0" w:after="0"/>
        <w:ind w:left="720" w:right="0" w:hanging="36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60"/>
        <w:gridCol w:w="170"/>
        <w:gridCol w:w="3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980"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1</w:t>
            </w:r>
            <w:r>
              <w:rPr>
                <w:rFonts w:ascii="Times New Roman;Times;serif" w:hAnsi="Times New Roman;Times;serif"/>
                <w:sz w:val="20"/>
              </w:rPr>
              <w:t xml:space="preserve"> includes quoted prices in active markets.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2</w:t>
            </w:r>
            <w:r>
              <w:rPr>
                <w:rFonts w:ascii="Times New Roman;Times;serif" w:hAnsi="Times New Roman;Times;serif"/>
                <w:sz w:val="20"/>
              </w:rPr>
              <w:t xml:space="preserve"> includes significant observable inputs, such as quoted prices for identical or similar securities, or other inputs that are observable and can be corroborated by observable market data for similar securities. The Company uses market pricing and other observable market inputs obtained from </w:t>
            </w:r>
            <w:r>
              <w:rPr>
                <w:rStyle w:val="Emphasis"/>
                <w:rFonts w:ascii="Times New Roman;Times;serif" w:hAnsi="Times New Roman;Times;serif"/>
                <w:sz w:val="20"/>
              </w:rPr>
              <w:t>third</w:t>
            </w:r>
            <w:r>
              <w:rPr>
                <w:rFonts w:ascii="Times New Roman;Times;serif" w:hAnsi="Times New Roman;Times;serif"/>
                <w:sz w:val="20"/>
              </w:rPr>
              <w:t xml:space="preserve">-party providers. It uses the bid price to establish fair value where a bid price is available. The Company does </w:t>
            </w:r>
            <w:r>
              <w:rPr>
                <w:rStyle w:val="Emphasis"/>
                <w:rFonts w:ascii="Times New Roman;Times;serif" w:hAnsi="Times New Roman;Times;serif"/>
                <w:sz w:val="20"/>
              </w:rPr>
              <w:t>not</w:t>
            </w:r>
            <w:r>
              <w:rPr>
                <w:rFonts w:ascii="Times New Roman;Times;serif" w:hAnsi="Times New Roman;Times;serif"/>
                <w:sz w:val="20"/>
              </w:rPr>
              <w:t xml:space="preserve"> have any financial instruments where the fair value is based on Level </w:t>
            </w:r>
            <w:r>
              <w:rPr>
                <w:rStyle w:val="Emphasis"/>
                <w:rFonts w:ascii="Times New Roman;Times;serif" w:hAnsi="Times New Roman;Times;serif"/>
                <w:sz w:val="20"/>
              </w:rPr>
              <w:t>2</w:t>
            </w:r>
            <w:r>
              <w:rPr>
                <w:rFonts w:ascii="Times New Roman;Times;serif" w:hAnsi="Times New Roman;Times;serif"/>
                <w:sz w:val="20"/>
              </w:rPr>
              <w:t xml:space="preserve"> inputs.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3</w:t>
            </w:r>
            <w:r>
              <w:rPr>
                <w:rFonts w:ascii="Times New Roman;Times;serif" w:hAnsi="Times New Roman;Times;serif"/>
                <w:sz w:val="20"/>
              </w:rPr>
              <w:t xml:space="preserve"> includes unobservable inputs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activity. The Company does </w:t>
            </w:r>
            <w:r>
              <w:rPr>
                <w:rStyle w:val="Emphasis"/>
                <w:rFonts w:ascii="Times New Roman;Times;serif" w:hAnsi="Times New Roman;Times;serif"/>
                <w:sz w:val="20"/>
              </w:rPr>
              <w:t>not</w:t>
            </w:r>
            <w:r>
              <w:rPr>
                <w:rFonts w:ascii="Times New Roman;Times;serif" w:hAnsi="Times New Roman;Times;serif"/>
                <w:sz w:val="20"/>
              </w:rPr>
              <w:t xml:space="preserve"> have any financial instruments where the fair value is based on Level </w:t>
            </w:r>
            <w:r>
              <w:rPr>
                <w:rStyle w:val="Emphasis"/>
                <w:rFonts w:ascii="Times New Roman;Times;serif" w:hAnsi="Times New Roman;Times;serif"/>
                <w:sz w:val="20"/>
              </w:rPr>
              <w:t>3</w:t>
            </w:r>
            <w:r>
              <w:rPr>
                <w:rFonts w:ascii="Times New Roman;Times;serif" w:hAnsi="Times New Roman;Times;serif"/>
                <w:sz w:val="20"/>
              </w:rPr>
              <w:t xml:space="preserve"> inputs.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If a financial instrument uses inputs that fall in different levels of the hierarchy, the instrument will be categorized based upon the lowest level of input that is significant to the fair value calculation. The fair value of cash and cash equivalents was based on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fair value of common stock warrants of $6.71 per warrant was determined at distribution on </w:t>
      </w:r>
      <w:r>
        <w:rPr>
          <w:rStyle w:val="Emphasis"/>
          <w:rFonts w:ascii="Times New Roman" w:hAnsi="Times New Roman"/>
          <w:caps w:val="false"/>
          <w:smallCaps w:val="false"/>
          <w:sz w:val="20"/>
        </w:rPr>
        <w:t xml:space="preserve">January 3, 2024 </w:t>
      </w:r>
      <w:r>
        <w:rPr>
          <w:rFonts w:ascii="Times New Roman" w:hAnsi="Times New Roman"/>
          <w:caps w:val="false"/>
          <w:smallCaps w:val="false"/>
          <w:sz w:val="20"/>
        </w:rPr>
        <w:t>using a Monte Carlo valuation model since the warrants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traded on the open market on </w:t>
      </w:r>
      <w:r>
        <w:rPr>
          <w:rStyle w:val="Emphasis"/>
          <w:rFonts w:ascii="Times New Roman" w:hAnsi="Times New Roman"/>
          <w:caps w:val="false"/>
          <w:smallCaps w:val="false"/>
          <w:sz w:val="20"/>
        </w:rPr>
        <w:t xml:space="preserve">January 3, 2024. </w:t>
      </w:r>
      <w:r>
        <w:rPr>
          <w:rFonts w:ascii="Times New Roman" w:hAnsi="Times New Roman"/>
          <w:caps w:val="false"/>
          <w:smallCaps w:val="false"/>
          <w:sz w:val="20"/>
        </w:rPr>
        <w:t xml:space="preserve">Warrant trading on Nasdaq began on </w:t>
      </w:r>
      <w:r>
        <w:rPr>
          <w:rStyle w:val="Emphasis"/>
          <w:rFonts w:ascii="Times New Roman" w:hAnsi="Times New Roman"/>
          <w:caps w:val="false"/>
          <w:smallCaps w:val="false"/>
          <w:sz w:val="20"/>
        </w:rPr>
        <w:t xml:space="preserve">January 4, 2024. </w:t>
      </w:r>
      <w:r>
        <w:rPr>
          <w:rFonts w:ascii="Times New Roman" w:hAnsi="Times New Roman"/>
          <w:caps w:val="false"/>
          <w:smallCaps w:val="false"/>
          <w:sz w:val="20"/>
        </w:rPr>
        <w:t xml:space="preserve">Quantitative information regarding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measurements for common stock warrants were as follows:</w:t>
      </w:r>
    </w:p>
    <w:p>
      <w:pPr>
        <w:pStyle w:val="TextBody"/>
        <w:bidi w:val="0"/>
        <w:spacing w:before="0" w:after="0"/>
        <w:ind w:left="0" w:right="0" w:hanging="0"/>
        <w:jc w:val="both"/>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3650"/>
        <w:gridCol w:w="60"/>
        <w:gridCol w:w="125"/>
        <w:gridCol w:w="485"/>
        <w:gridCol w:w="185"/>
      </w:tblGrid>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 per warrant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33.00</w:t>
            </w:r>
          </w:p>
        </w:tc>
        <w:tc>
          <w:tcPr>
            <w:tcW w:w="18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rate - common shares per warrant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Closing price of common stock</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23.72</w:t>
            </w:r>
          </w:p>
        </w:tc>
        <w:tc>
          <w:tcPr>
            <w:tcW w:w="18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of option (in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CCEEFF" w:val="clear"/>
            <w:vAlign w:val="center"/>
          </w:tcPr>
          <w:p>
            <w:pPr>
              <w:pStyle w:val="TableContents"/>
              <w:bidi w:val="0"/>
              <w:spacing w:before="0" w:after="283"/>
              <w:ind w:left="0" w:right="0" w:hanging="0"/>
              <w:jc w:val="left"/>
              <w:rPr/>
            </w:pPr>
            <w:r>
              <w:rPr/>
              <w:t> </w:t>
            </w:r>
          </w:p>
        </w:tc>
        <w:tc>
          <w:tcPr>
            <w:tcW w:w="61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zero</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common stock warrants stopped trading on Nasdaq after </w:t>
      </w:r>
      <w:r>
        <w:rPr>
          <w:rStyle w:val="Emphasis"/>
          <w:rFonts w:ascii="Times New Roman" w:hAnsi="Times New Roman"/>
          <w:caps w:val="false"/>
          <w:smallCaps w:val="false"/>
          <w:sz w:val="20"/>
        </w:rPr>
        <w:t xml:space="preserve">May 2, 2024 </w:t>
      </w:r>
      <w:r>
        <w:rPr>
          <w:rFonts w:ascii="Times New Roman" w:hAnsi="Times New Roman"/>
          <w:caps w:val="false"/>
          <w:smallCaps w:val="false"/>
          <w:sz w:val="20"/>
        </w:rPr>
        <w:t xml:space="preserve">and subsequently had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As of </w:t>
      </w:r>
      <w:r>
        <w:rPr>
          <w:rStyle w:val="Emphasis"/>
          <w:rFonts w:ascii="Times New Roman" w:hAnsi="Times New Roman"/>
          <w:caps w:val="false"/>
          <w:smallCaps w:val="false"/>
          <w:sz w:val="20"/>
        </w:rPr>
        <w:t>May 7, 2024, </w:t>
      </w:r>
      <w:r>
        <w:rPr>
          <w:rFonts w:ascii="Times New Roman" w:hAnsi="Times New Roman"/>
          <w:caps w:val="false"/>
          <w:smallCaps w:val="false"/>
          <w:sz w:val="20"/>
        </w:rPr>
        <w:t xml:space="preserve">the warrants were presumed to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value since they were redeemed for a nominal payment of $0.001 per warrant.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reports segment information based on how it internally evaluates the operating performance of its business units, or segments. The Company’s operations are confined to one business segment: the development of novel drugs and diagnostics.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Company’s reportable segment reflects the manner in which its chief operating decision maker (“CODM”) allocates resources and assesses performance. The Company's CODM is the President and Chief Executive Officer. The primary measure used by the Company's CODM for purposes of allocating resources is based on net loss that also is reported on the consolidated statements of operations as consolidated net loss. The measure of segment assets is reported on the consolidated balance sheets as cash and cash equivalents.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generated any product revenue in the current period and expects to continue to incur significant expenses and operating losses for the foreseeable future as we advance our product candidates through stages of development and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such, the CODM uses cash forecast models in deciding how to invest in the development of novel drugs and diagnostics.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summarizes expenses by category regularly reviewed by the CODM (in thousands):</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10"/>
        <w:gridCol w:w="60"/>
        <w:gridCol w:w="125"/>
        <w:gridCol w:w="590"/>
        <w:gridCol w:w="80"/>
        <w:gridCol w:w="60"/>
        <w:gridCol w:w="125"/>
        <w:gridCol w:w="755"/>
        <w:gridCol w:w="80"/>
        <w:gridCol w:w="60"/>
        <w:gridCol w:w="125"/>
        <w:gridCol w:w="590"/>
        <w:gridCol w:w="8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89,423</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16,534</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 Other segment items include interest income, other income (loss), net and gain from change in fair value of warrant liabilities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only).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 summarizes assets regularly reviewed by the CODM (in thousands):</w:t>
      </w:r>
    </w:p>
    <w:tbl>
      <w:tblPr>
        <w:tblW w:w="3940" w:type="dxa"/>
        <w:jc w:val="left"/>
        <w:tblInd w:w="0" w:type="dxa"/>
        <w:tblLayout w:type="fixed"/>
        <w:tblCellMar>
          <w:top w:w="0" w:type="dxa"/>
          <w:left w:w="0" w:type="dxa"/>
          <w:bottom w:w="0" w:type="dxa"/>
          <w:right w:w="0" w:type="dxa"/>
        </w:tblCellMar>
      </w:tblPr>
      <w:tblGrid>
        <w:gridCol w:w="2165"/>
        <w:gridCol w:w="60"/>
        <w:gridCol w:w="125"/>
        <w:gridCol w:w="590"/>
        <w:gridCol w:w="60"/>
        <w:gridCol w:w="60"/>
        <w:gridCol w:w="125"/>
        <w:gridCol w:w="695"/>
        <w:gridCol w:w="60"/>
      </w:tblGrid>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net cash used in operating activities was $32.3 million, $116.9 million and $82.0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Stock-based Compensation</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recognizes non-cash expense for the fair value of all stock options and other share-based awards. The Company uses the Black-Scholes option valuation model (“Black-Scholes”) to calculate the fair value of stock options, using the single-option award approach and straight-line attribution method. This model requires the input of subjective assumptions including expected stock price volatility, expected life and estimated forfeitures of each award. These assumptions consist of estimates of future market conditions, which are inherently uncertain, and therefore, are subject to management’s judgment. For all options granted, it recognizes the resulting fair value as expense on a straight-line basis over the vesting period of each respective stock option, generally one to four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has granted share-based awards that vest upon achievement of certain performance criteria (“Performance Awards”). The Company multiplies the number of Performance Awards by the fair value of its common stock on the date of grant to calculate the fair value of each award. It estimates an implicit service period for achieving performance criteria for each award. The Company recognizes the resulting fair value as expense over the implicit service period when it concludes that achieving the performance criteria is probable. It periodically reviews and updates as appropriate its estimates of implicit service periods and conclusions on achieving the performance criteria. Performance Awards vest and common stock is issued upon achievement of the performance criteria.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Basic net loss per common share is computed by dividing the net loss available to common stockholders by the weighted-average number of common shares outstanding during the period. Diluted net loss per common share is computed by dividing the net loss available to common stockholders by the weighted-average number of common shares outstanding and potentially dilutive securities outstanding during the period using the treasury stock method. Potentially dilutive securities are excluded from the computations of diluted earnings per share if their effect would be anti-dilutive. A net loss causes all potentially dilutive securities to be anti-dilutive. Potentially dilutive securities consist of outstanding common stock options and Performance Awards.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difference between the Company’s net loss and comprehensive loss. The numerators and denominators in the calculation of basic and diluted net loss per share were as follows (in thousands, except net loss per share data):</w:t>
      </w:r>
    </w:p>
    <w:p>
      <w:pPr>
        <w:pStyle w:val="TextBody"/>
        <w:bidi w:val="0"/>
        <w:spacing w:before="0" w:after="0"/>
        <w:ind w:left="0" w:right="0" w:firstLine="360"/>
        <w:jc w:val="both"/>
        <w:rPr>
          <w:caps w:val="false"/>
          <w:smallCaps w:val="false"/>
        </w:rPr>
      </w:pPr>
      <w:r>
        <w:rPr>
          <w:caps w:val="false"/>
          <w:smallCaps w:val="false"/>
        </w:rPr>
        <w:t> </w:t>
      </w:r>
    </w:p>
    <w:tbl>
      <w:tblPr>
        <w:tblW w:w="8645" w:type="dxa"/>
        <w:jc w:val="left"/>
        <w:tblInd w:w="0" w:type="dxa"/>
        <w:tblLayout w:type="fixed"/>
        <w:tblCellMar>
          <w:top w:w="0" w:type="dxa"/>
          <w:left w:w="0" w:type="dxa"/>
          <w:bottom w:w="0" w:type="dxa"/>
          <w:right w:w="0" w:type="dxa"/>
        </w:tblCellMar>
      </w:tblPr>
      <w:tblGrid>
        <w:gridCol w:w="5900"/>
        <w:gridCol w:w="60"/>
        <w:gridCol w:w="125"/>
        <w:gridCol w:w="650"/>
        <w:gridCol w:w="80"/>
        <w:gridCol w:w="60"/>
        <w:gridCol w:w="125"/>
        <w:gridCol w:w="650"/>
        <w:gridCol w:w="80"/>
        <w:gridCol w:w="60"/>
        <w:gridCol w:w="125"/>
        <w:gridCol w:w="650"/>
        <w:gridCol w:w="80"/>
      </w:tblGrid>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41,932</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for 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numerator,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41,932</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common stock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dilutive common shares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41,932</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common stock options excluded from net loss per share,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Performance Awards excluded from loss per share,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excluded common stock options and Performance Awards outstanding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from the calculation of net loss per share, diluted, because the effect of including outstanding options and Performance Awards would have been anti</w:t>
      </w:r>
      <w:r>
        <w:rPr>
          <w:rFonts w:ascii="Times New Roman" w:hAnsi="Times New Roman"/>
          <w:b/>
          <w:caps w:val="false"/>
          <w:smallCaps w:val="false"/>
          <w:sz w:val="20"/>
        </w:rPr>
        <w:t>-</w:t>
      </w:r>
      <w:r>
        <w:rPr>
          <w:rFonts w:ascii="Times New Roman" w:hAnsi="Times New Roman"/>
          <w:caps w:val="false"/>
          <w:smallCaps w:val="false"/>
          <w:sz w:val="20"/>
        </w:rPr>
        <w:t>dilutive.</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accounts for warrants as either equity-classified or liability-classified instruments based on an assessment of the warrant’s specific terms and in accordance with the Financial Accounting Standards Board (“FASB”) Accounting Standards Codification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“Distinguishing Liabilities from Equity”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assessment considers whether the warrants are freestanding financial instruments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meet the definition of a liability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whether the warrants meet all of the requirements for equity classification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including whether the warrants are indexed to the Company’s own shares,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For issued or modified warrants that meet all of the criteria for equity classification, the warrants are required to be recorded as a component of additional paid-in capital at the time of issuance. For issued or modified warrants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all the criteria for equity classification, the warrants are required to be recorded at their initial fair value of the date of issuance, and each consolidated balance sheet date thereafter. Changes in the estimated fair value of liability classified warrants are recognized as a non-cash gain or loss on the statements of operations. Costs associated with issuing the warrants classified as derivative liabilities are charged to operations when the warrants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There were no warrants outstanding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or </w:t>
      </w:r>
      <w:r>
        <w:rPr>
          <w:rStyle w:val="Emphasis"/>
          <w:rFonts w:ascii="Times New Roman" w:hAnsi="Times New Roman"/>
          <w:caps w:val="false"/>
          <w:smallCaps w:val="false"/>
          <w:sz w:val="20"/>
        </w:rPr>
        <w:t>2024.</w:t>
      </w:r>
    </w:p>
    <w:p>
      <w:pPr>
        <w:pStyle w:val="TextBody"/>
        <w:bidi w:val="0"/>
        <w:spacing w:before="0" w:after="0"/>
        <w:jc w:val="center"/>
        <w:rPr/>
      </w:pPr>
      <w:r>
        <w:rPr>
          <w:rStyle w:val="Emphasis"/>
          <w:rFonts w:ascii="Times New Roman" w:hAnsi="Times New Roman"/>
          <w:sz w:val="20"/>
        </w:rPr>
        <w:t>84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of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Financial instruments include accounts payable, accrued expenses, accrued development expense and other liabilities. The estimated fair value of certain financial instruments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determined using available market information or other appropriate valuation methodologies. However, considerable judgment is required in interpreting market data to develop estimates of fair value; therefore, the estimates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amounts that could be realized or would be paid in a current market exchange. The effect of using different market assumptions and/or estimation methodologies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 to the estimated fair value amounts. The carrying amounts of accounts payable, accrued expenses, accrued development expense and other liabilities are at cost, which approximates fair value due to the short maturity of those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Research Contracts, Prepaids and Accruals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has entered into various research and development contracts with research institutions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vendors. These agreements are generally cancelable. Related payments are recorded as research and development expenses as incurred. The Company records prepaids and accruals for estimated ongoing research costs. When evaluating the adequacy of prepaid expenses and accrued liabilities, the Company analyzes progress of the studies including the phase or completion of events, invoices received and contracted costs. Significant judgments and estimates are made in determining the prepaid and accrued balances at the end of any reporting period. Actual results could differ from the Company’s estimates. The Company’s historical prepaid and accrual estimates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materially different from actual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Incentive Bonus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established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Cash Incentive Bonus Plan (the “CIB Plan”) to incentivize CIB Plan participants. Awards under the CIB Plan are accounted for as liability awards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Stock-based Compensation</w:t>
      </w:r>
      <w:r>
        <w:rPr>
          <w:rFonts w:ascii="Times New Roman" w:hAnsi="Times New Roman"/>
          <w:caps w:val="false"/>
          <w:smallCaps w:val="false"/>
          <w:sz w:val="20"/>
        </w:rPr>
        <w:t xml:space="preserve">”. The fair value of each potential CIB Plan award will be determined once a grant date occurs and will be remeasured each reporting period. Compensation expense associated with the CIB Plan will be recognized over the expected achievement period for each CIB Plan award, when a Performance Condition (as defined below) is considered probable of being met. See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for further discussion of the CIB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Property and equipment are recorded at cost, net of accumulated depreciation. Depreciation is recorded using the straight-line method over the estimated useful lives of the assets. Owned buildings and related improvements have estimated useful lives of 39 years and approximately 10 years, respectively. Tenant improvements are amortized using the straight-line method over the useful lives of the improvements or the remaining term of the corresponding leases, whichever is shorter.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Property and equipment are reviewed for impairment when events or changes in circumstances indicate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If property and equipment are considered to be impaired, an impairment loss is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Insurance Recoveries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We record proceeds from our insurance policies when the loss event has occurred, and proceeds are estimable and probable of being recovered. Insurance recoveries and proceeds received are recorded as a reduction to general and administrative expense. There were no insurance recoveries 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There was approximately $9.9 million and $0.1 million of insurance recoveries recorded during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15, 2024, </w:t>
      </w:r>
      <w:r>
        <w:rPr>
          <w:rFonts w:ascii="Times New Roman" w:hAnsi="Times New Roman"/>
          <w:caps w:val="false"/>
          <w:smallCaps w:val="false"/>
          <w:sz w:val="20"/>
        </w:rPr>
        <w:t xml:space="preserve">our former President and Chief Executive Officer resigned from the Company, effective as of </w:t>
      </w:r>
      <w:r>
        <w:rPr>
          <w:rStyle w:val="Emphasis"/>
          <w:rFonts w:ascii="Times New Roman" w:hAnsi="Times New Roman"/>
          <w:caps w:val="false"/>
          <w:smallCaps w:val="false"/>
          <w:sz w:val="20"/>
        </w:rPr>
        <w:t>September 13, 2024 (</w:t>
      </w:r>
      <w:r>
        <w:rPr>
          <w:rFonts w:ascii="Times New Roman" w:hAnsi="Times New Roman"/>
          <w:caps w:val="false"/>
          <w:smallCaps w:val="false"/>
          <w:sz w:val="20"/>
        </w:rPr>
        <w:t xml:space="preserve">the “Effective Date”). Pursuant to the terms of his employment agreement, our former President and Chief Executive Officer received severance compensation equal to $1.23 million paid ratably over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following the Effective Date. The full amount of severance compensation was included in general and administrative expense in the period the resignation was tendered. There was no severance compensation relating to this agreement recognized during the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previously disclosed </w:t>
      </w:r>
      <w:r>
        <w:rPr>
          <w:rStyle w:val="Emphasis"/>
          <w:rFonts w:ascii="Times New Roman" w:hAnsi="Times New Roman"/>
          <w:caps w:val="false"/>
          <w:smallCaps w:val="false"/>
          <w:sz w:val="20"/>
        </w:rPr>
        <w:t xml:space="preserve">September 13, 2024 </w:t>
      </w:r>
      <w:r>
        <w:rPr>
          <w:rFonts w:ascii="Times New Roman" w:hAnsi="Times New Roman"/>
          <w:caps w:val="false"/>
          <w:smallCaps w:val="false"/>
          <w:sz w:val="20"/>
        </w:rPr>
        <w:t xml:space="preserve">consulting agreement with our former President and Chief Executive Officer was terminated effective </w:t>
      </w:r>
      <w:r>
        <w:rPr>
          <w:rStyle w:val="Emphasis"/>
          <w:rFonts w:ascii="Times New Roman" w:hAnsi="Times New Roman"/>
          <w:caps w:val="false"/>
          <w:smallCaps w:val="false"/>
          <w:sz w:val="20"/>
        </w:rPr>
        <w:t xml:space="preserve">January 23, 2025. </w:t>
      </w:r>
      <w:r>
        <w:rPr>
          <w:rFonts w:ascii="Times New Roman" w:hAnsi="Times New Roman"/>
          <w:caps w:val="false"/>
          <w:smallCaps w:val="false"/>
          <w:sz w:val="20"/>
        </w:rPr>
        <w:t>Total consulting fees paid were de minimis through the termination of the consulting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16, 2024, </w:t>
      </w:r>
      <w:r>
        <w:rPr>
          <w:rFonts w:ascii="Times New Roman" w:hAnsi="Times New Roman"/>
          <w:caps w:val="false"/>
          <w:smallCaps w:val="false"/>
          <w:sz w:val="20"/>
        </w:rPr>
        <w:t xml:space="preserve">our former Senior Vice President (SVP), Neuroscience agreed to step down from her employment with the Company, effective immediately. Our former SVP, Neuroscience is the spouse of our former President and Chief Executive Officer. Pursuant to a separation agreement, our former SVP, Neuroscience received severance compensation equal to $0.5 million paid in quarterly installments over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The full amount of severance compensation was included in research and development expense in the period the agreement providing for severance was executed. There was no severance compensation relating to this agreement recognized during the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There was no accrued compensation and benefits for the two former senior officers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There was $1.2 million of accrued severance costs for the two former senior officers included in accrued compensation and benefits at </w:t>
      </w:r>
      <w:r>
        <w:rPr>
          <w:rStyle w:val="Emphasis"/>
          <w:rFonts w:ascii="Times New Roman" w:hAnsi="Times New Roman"/>
          <w:caps w:val="false"/>
          <w:smallCaps w:val="false"/>
          <w:sz w:val="20"/>
        </w:rPr>
        <w:t>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16, 2024, </w:t>
      </w:r>
      <w:r>
        <w:rPr>
          <w:rFonts w:ascii="Times New Roman" w:hAnsi="Times New Roman"/>
          <w:caps w:val="false"/>
          <w:smallCaps w:val="false"/>
          <w:sz w:val="20"/>
        </w:rPr>
        <w:t xml:space="preserve">the Company entered into a one-year consulting agreement with the Company’s former SVP, Neuroscience. Pursuant to the terms of the consulting agreement, the consultant provided services for purposes of providing information and support for scientific research and/or obtaining governmental approval for the Company’s products. The Company incurred fees totaling $20,000 and $43,000 under the consulting agreement during the years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 consulting agreement terminated in </w:t>
      </w:r>
      <w:r>
        <w:rPr>
          <w:rStyle w:val="Emphasis"/>
          <w:rFonts w:ascii="Times New Roman" w:hAnsi="Times New Roman"/>
          <w:caps w:val="false"/>
          <w:smallCaps w:val="false"/>
          <w:sz w:val="20"/>
        </w:rPr>
        <w:t>July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20, 2025, </w:t>
      </w:r>
      <w:r>
        <w:rPr>
          <w:rFonts w:ascii="Times New Roman" w:hAnsi="Times New Roman"/>
          <w:caps w:val="false"/>
          <w:smallCaps w:val="false"/>
          <w:sz w:val="20"/>
        </w:rPr>
        <w:t xml:space="preserve">the Company entered into a one-year consulting agreement with the Company’s former Chief Medical Officer. Pursuant to the terms of the consulting agreement, the consultant provided services relating to Company manuscripts and publications. The Company incurred fees totaling $42,000 under the consulting agreement during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accounts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Company has accumulated significant deferred tax assets that reflect the tax effects of net operating loss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accounts for uncertain tax positions in accordance with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“Income Taxes”, which clarifies the accounting for uncertainty in tax positions. These provisions require recognition of the impact of a tax position in the Company’s consolidated financial statements only if that position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 being sustained upon examination by taxing authorities, based on the technical merits of the position. Any interest and penalties related to uncertain tax positions will be reflected as a component of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Accounting Pronouncements</w:t>
      </w:r>
    </w:p>
    <w:p>
      <w:pPr>
        <w:pStyle w:val="TextBody"/>
        <w:bidi w:val="0"/>
        <w:spacing w:before="0" w:after="0"/>
        <w:ind w:left="0" w:right="0" w:hanging="0"/>
        <w:jc w:val="both"/>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Improvements to Income Tax Disclosures. The ASU requires that an entity disclose specific categories in the effective tax rate reconciliation as well as reconciling items that meet a quantitative threshold. Further, the ASU requires additional disclosures on income tax expense and taxes paid, net of refunds received, by jurisdiction. The new standard is effective for annual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on a prospective basis with the option to apply it retrospectively. The Company adopted this guidance effective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on a prospective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i/>
          <w:caps w:val="false"/>
          <w:smallCaps w:val="false"/>
          <w:sz w:val="20"/>
        </w:rPr>
        <w:t xml:space="preserve">Accounting Guidance Issued But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Adopted as of </w:t>
      </w:r>
      <w:r>
        <w:rPr>
          <w:rStyle w:val="Emphasis"/>
          <w:rFonts w:ascii="Times New Roman" w:hAnsi="Times New Roman"/>
          <w:b/>
          <w:i/>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Disaggregation of Income Statement Expenses. This ASU includes amendments that require entities to bifurcate specified expense line items on the income statement into underlying components, including employee compensation, depreciation, and intangible asset amortization, as applicable. Qualitative descriptions of the remaining components are required. These enhanced disclosures are required for both interim and annual periods.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the FASB subsequently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Clarifying the Effective Date, to provide clarification on the ASU's effective date. The new standard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on a prospective basis with the option to apply it retrospectively, and for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The adoption of this guidance will result in the Company being required to include enhanced disclosures around income statement expenses.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Prepaid Expenses and Other Current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Prepaid expenses and other current assets at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consisted of the following (in thousands):</w:t>
      </w:r>
    </w:p>
    <w:p>
      <w:pPr>
        <w:pStyle w:val="TextBody"/>
        <w:bidi w:val="0"/>
        <w:spacing w:before="0" w:after="0"/>
        <w:ind w:left="0" w:right="0" w:firstLine="36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4040"/>
        <w:gridCol w:w="60"/>
        <w:gridCol w:w="125"/>
        <w:gridCol w:w="485"/>
        <w:gridCol w:w="60"/>
        <w:gridCol w:w="60"/>
        <w:gridCol w:w="125"/>
        <w:gridCol w:w="485"/>
        <w:gridCol w:w="60"/>
      </w:tblGrid>
      <w:tr>
        <w:trPr/>
        <w:tc>
          <w:tcPr>
            <w:tcW w:w="40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w:t>
            </w:r>
          </w:p>
        </w:tc>
        <w:tc>
          <w:tcPr>
            <w:tcW w:w="60" w:type="dxa"/>
            <w:tcBorders/>
            <w:shd w:fill="FFFFFF" w:val="clear"/>
            <w:vAlign w:val="center"/>
          </w:tcPr>
          <w:p>
            <w:pPr>
              <w:pStyle w:val="TableContents"/>
              <w:bidi w:val="0"/>
              <w:spacing w:before="0" w:after="0"/>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Prepaid insurance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Contract research organization and other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6,173</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Interest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947</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Total prepaid expenses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Contract research organization and other deposits represent cash payments made to vendors in excess of expenses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Real Property and Other Income,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owns a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-building office complex in Austin, Texas, a portion of which serves as its corporate headquarters. Maintenance, physical facilities, leasing, property management and other key responsibilities related to property ownership are outsourced to professional real-estate managers. The office complex has approximately 90,000 square feet of rentable space.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occupied approximately 25% of the property with the remainder either leased or available for lease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87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 xml:space="preserve">The Company records the net income from building operations and leases as other income, net, as leasing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core to the Company’s operations. Building depreciation and amortization for space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occupied by the Company is included in general and administrative expense. Building depreciation and amortization for space occupied by the Company is allocated between general and administrative expense and research and development expense. Components of other income, net, for the periods presented were as follows (in thousands):</w:t>
      </w:r>
    </w:p>
    <w:p>
      <w:pPr>
        <w:pStyle w:val="TextBody"/>
        <w:bidi w:val="0"/>
        <w:spacing w:before="0" w:after="0"/>
        <w:ind w:left="0" w:right="0" w:hanging="0"/>
        <w:jc w:val="center"/>
        <w:rPr>
          <w:caps w:val="false"/>
          <w:smallCaps w:val="false"/>
        </w:rPr>
      </w:pPr>
      <w:r>
        <w:rPr>
          <w:caps w:val="false"/>
          <w:smallCaps w:val="false"/>
        </w:rPr>
        <w:t> </w:t>
      </w:r>
    </w:p>
    <w:tbl>
      <w:tblPr>
        <w:tblW w:w="4644" w:type="dxa"/>
        <w:jc w:val="left"/>
        <w:tblInd w:w="0" w:type="dxa"/>
        <w:tblLayout w:type="fixed"/>
        <w:tblCellMar>
          <w:top w:w="0" w:type="dxa"/>
          <w:left w:w="0" w:type="dxa"/>
          <w:bottom w:w="0" w:type="dxa"/>
          <w:right w:w="0" w:type="dxa"/>
        </w:tblCellMar>
      </w:tblPr>
      <w:tblGrid>
        <w:gridCol w:w="2315"/>
        <w:gridCol w:w="60"/>
        <w:gridCol w:w="131"/>
        <w:gridCol w:w="416"/>
        <w:gridCol w:w="84"/>
        <w:gridCol w:w="63"/>
        <w:gridCol w:w="131"/>
        <w:gridCol w:w="511"/>
        <w:gridCol w:w="84"/>
        <w:gridCol w:w="63"/>
        <w:gridCol w:w="131"/>
        <w:gridCol w:w="575"/>
        <w:gridCol w:w="8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1,244</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2,283</w:t>
            </w:r>
          </w:p>
        </w:tc>
        <w:tc>
          <w:tcPr>
            <w:tcW w:w="8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operating expenses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Other income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411</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Company had accrued property taxes related to the building totaling $178,000 and $254,000 at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included in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Gross rental income under existing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leases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is as follows (in millions):</w:t>
      </w:r>
    </w:p>
    <w:p>
      <w:pPr>
        <w:pStyle w:val="TextBody"/>
        <w:bidi w:val="0"/>
        <w:spacing w:before="0" w:after="0"/>
        <w:ind w:left="0" w:right="0" w:hanging="0"/>
        <w:jc w:val="left"/>
        <w:rPr/>
      </w:pPr>
      <w:r>
        <w:rPr/>
        <w:t> </w:t>
      </w:r>
    </w:p>
    <w:tbl>
      <w:tblPr>
        <w:tblW w:w="3340" w:type="dxa"/>
        <w:jc w:val="left"/>
        <w:tblInd w:w="0" w:type="dxa"/>
        <w:tblLayout w:type="fixed"/>
        <w:tblCellMar>
          <w:top w:w="0" w:type="dxa"/>
          <w:left w:w="0" w:type="dxa"/>
          <w:bottom w:w="0" w:type="dxa"/>
          <w:right w:w="0" w:type="dxa"/>
        </w:tblCellMar>
      </w:tblPr>
      <w:tblGrid>
        <w:gridCol w:w="2885"/>
        <w:gridCol w:w="60"/>
        <w:gridCol w:w="60"/>
        <w:gridCol w:w="275"/>
        <w:gridCol w:w="60"/>
      </w:tblGrid>
      <w:tr>
        <w:trPr/>
        <w:tc>
          <w:tcPr>
            <w:tcW w:w="28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For the year ending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 and beyond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rental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components of property and equipment, net,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were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2465"/>
        <w:gridCol w:w="60"/>
        <w:gridCol w:w="125"/>
        <w:gridCol w:w="590"/>
        <w:gridCol w:w="80"/>
        <w:gridCol w:w="60"/>
        <w:gridCol w:w="125"/>
        <w:gridCol w:w="590"/>
        <w:gridCol w:w="80"/>
      </w:tblGrid>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rStyle w:val="Emphasis"/>
                <w:rFonts w:ascii="Times New Roman" w:hAnsi="Times New Roman"/>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3,734</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Buildings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15,980</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Site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Tenant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3,062</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Furniture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in progress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0"/>
              <w:jc w:val="left"/>
              <w:rPr/>
            </w:pPr>
            <w:r>
              <w:rPr/>
              <w:t> </w:t>
            </w:r>
          </w:p>
        </w:tc>
      </w:tr>
      <w:tr>
        <w:trPr/>
        <w:tc>
          <w:tcPr>
            <w:tcW w:w="24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Gross property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24,237</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21,001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Depreciation expense for property and equipment was $903,000, $952,000 and $1,084,000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components of intangible assets, net,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were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2570"/>
        <w:gridCol w:w="60"/>
        <w:gridCol w:w="125"/>
        <w:gridCol w:w="545"/>
        <w:gridCol w:w="80"/>
        <w:gridCol w:w="60"/>
        <w:gridCol w:w="125"/>
        <w:gridCol w:w="545"/>
        <w:gridCol w:w="80"/>
      </w:tblGrid>
      <w:tr>
        <w:trPr/>
        <w:tc>
          <w:tcPr>
            <w:tcW w:w="25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w:t>
            </w:r>
          </w:p>
        </w:tc>
        <w:tc>
          <w:tcPr>
            <w:tcW w:w="80" w:type="dxa"/>
            <w:tcBorders/>
            <w:shd w:fill="FFFFFF" w:val="clear"/>
            <w:vAlign w:val="center"/>
          </w:tcPr>
          <w:p>
            <w:pPr>
              <w:pStyle w:val="TableContents"/>
              <w:bidi w:val="0"/>
              <w:spacing w:before="0" w:after="0"/>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Lease-in-place agreements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w:t>
            </w:r>
          </w:p>
        </w:tc>
        <w:tc>
          <w:tcPr>
            <w:tcW w:w="8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Leasing commissions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w:t>
            </w:r>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Gross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1,387</w:t>
            </w:r>
          </w:p>
        </w:tc>
        <w:tc>
          <w:tcPr>
            <w:tcW w:w="8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Accumulated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7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Amortization expense for intangible assets was $33,000, $180,000 and $446,000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Amortization expense for finite-lived intangible assets is expected to be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3465" w:type="dxa"/>
        <w:jc w:val="left"/>
        <w:tblInd w:w="0" w:type="dxa"/>
        <w:tblLayout w:type="fixed"/>
        <w:tblCellMar>
          <w:top w:w="0" w:type="dxa"/>
          <w:left w:w="0" w:type="dxa"/>
          <w:bottom w:w="0" w:type="dxa"/>
          <w:right w:w="0" w:type="dxa"/>
        </w:tblCellMar>
      </w:tblPr>
      <w:tblGrid>
        <w:gridCol w:w="2885"/>
        <w:gridCol w:w="60"/>
        <w:gridCol w:w="125"/>
        <w:gridCol w:w="335"/>
        <w:gridCol w:w="60"/>
      </w:tblGrid>
      <w:tr>
        <w:trPr/>
        <w:tc>
          <w:tcPr>
            <w:tcW w:w="2885" w:type="dxa"/>
            <w:tcBorders/>
            <w:shd w:fill="FFFFFF" w:val="clear"/>
            <w:vAlign w:val="center"/>
          </w:tcPr>
          <w:p>
            <w:pPr>
              <w:pStyle w:val="TableContents"/>
              <w:bidi w:val="0"/>
              <w:spacing w:before="0" w:after="0"/>
              <w:ind w:left="180" w:right="0" w:hanging="180"/>
              <w:jc w:val="left"/>
              <w:rPr>
                <w:rFonts w:ascii="Times New Roman" w:hAnsi="Times New Roman"/>
                <w:b/>
                <w:caps w:val="false"/>
                <w:smallCaps w:val="false"/>
                <w:sz w:val="20"/>
                <w:u w:val="single"/>
              </w:rPr>
            </w:pPr>
            <w:r>
              <w:rPr>
                <w:rFonts w:ascii="Times New Roman" w:hAnsi="Times New Roman"/>
                <w:b/>
                <w:caps w:val="false"/>
                <w:smallCaps w:val="false"/>
                <w:sz w:val="20"/>
                <w:u w:val="single"/>
              </w:rPr>
              <w:t>For the year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c>
          <w:tcPr>
            <w:tcW w:w="60" w:type="dxa"/>
            <w:tcBorders/>
            <w:shd w:fill="FFFFFF" w:val="cle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2030 and beyond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p>
        </w:tc>
        <w:tc>
          <w:tcPr>
            <w:tcW w:w="60" w:type="dxa"/>
            <w:tcBorders/>
            <w:shd w:fill="CCEEFF" w:val="cle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Stockholders' Equity and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Company’s Board of Directors (the “Board”) has the authority to issue preferred stock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series and to fix the rights, preferences, privileges, restrictions and the number of shares constituting any series or the designation of the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Common Stock Warrant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See Notes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regarding the distribution of common stock warrants on </w:t>
      </w:r>
      <w:r>
        <w:rPr>
          <w:rStyle w:val="Emphasis"/>
          <w:rFonts w:ascii="Times New Roman" w:hAnsi="Times New Roman"/>
          <w:caps w:val="false"/>
          <w:smallCaps w:val="false"/>
          <w:sz w:val="20"/>
        </w:rPr>
        <w:t>January 3, 2024.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At the Market (ATM) Common Stock Issuance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12, 2025, </w:t>
      </w:r>
      <w:r>
        <w:rPr>
          <w:rFonts w:ascii="Times New Roman" w:hAnsi="Times New Roman"/>
          <w:caps w:val="false"/>
          <w:smallCaps w:val="false"/>
          <w:sz w:val="20"/>
        </w:rPr>
        <w:t xml:space="preserve">we entered into an at-the-market offering program (ATM) to sell, from time to time, shares of our common stock having an aggregate offering price of up to $50 million in common stock in transactions pursuant to a shelf registration statement that was declared effective by the U.S. Securities and Exchange Commission (the SEC) on </w:t>
      </w:r>
      <w:r>
        <w:rPr>
          <w:rStyle w:val="Emphasis"/>
          <w:rFonts w:ascii="Times New Roman" w:hAnsi="Times New Roman"/>
          <w:caps w:val="false"/>
          <w:smallCaps w:val="false"/>
          <w:sz w:val="20"/>
        </w:rPr>
        <w:t xml:space="preserve">December 5, 2025. </w:t>
      </w:r>
      <w:r>
        <w:rPr>
          <w:rFonts w:ascii="Times New Roman" w:hAnsi="Times New Roman"/>
          <w:caps w:val="false"/>
          <w:smallCaps w:val="false"/>
          <w:sz w:val="20"/>
        </w:rPr>
        <w:t xml:space="preserve">We are obligated to pay a commission of up to 3.0% of the gross proceeds from the sale of shares of common stock in the offering. We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obligated to sell any shares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There were no common stock sales under the ATM during the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i/>
          <w:caps w:val="false"/>
          <w:smallCaps w:val="false"/>
          <w:sz w:val="20"/>
        </w:rPr>
        <w:t>2008</w:t>
      </w:r>
      <w:r>
        <w:rPr>
          <w:rFonts w:ascii="Times New Roman" w:hAnsi="Times New Roman"/>
          <w:b/>
          <w:i/>
          <w:caps w:val="false"/>
          <w:smallCaps w:val="false"/>
          <w:sz w:val="20"/>
        </w:rPr>
        <w:t xml:space="preserve"> Equity Incentive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Under the Company’s </w:t>
      </w:r>
      <w:r>
        <w:rPr>
          <w:rStyle w:val="Emphasis"/>
          <w:rFonts w:ascii="Times New Roman" w:hAnsi="Times New Roman"/>
          <w:caps w:val="false"/>
          <w:smallCaps w:val="false"/>
          <w:sz w:val="20"/>
        </w:rPr>
        <w:t>2008</w:t>
      </w:r>
      <w:r>
        <w:rPr>
          <w:rFonts w:ascii="Times New Roman" w:hAnsi="Times New Roman"/>
          <w:caps w:val="false"/>
          <w:smallCaps w:val="false"/>
          <w:sz w:val="20"/>
        </w:rPr>
        <w:t xml:space="preserve"> Equity Incentive Plan, or </w:t>
      </w:r>
      <w:r>
        <w:rPr>
          <w:rStyle w:val="Emphasis"/>
          <w:rFonts w:ascii="Times New Roman" w:hAnsi="Times New Roman"/>
          <w:caps w:val="false"/>
          <w:smallCaps w:val="false"/>
          <w:sz w:val="20"/>
        </w:rPr>
        <w:t>2008</w:t>
      </w:r>
      <w:r>
        <w:rPr>
          <w:rFonts w:ascii="Times New Roman" w:hAnsi="Times New Roman"/>
          <w:caps w:val="false"/>
          <w:smallCaps w:val="false"/>
          <w:sz w:val="20"/>
        </w:rPr>
        <w:t xml:space="preserve"> Equity Plan, its employees, directors and consultants received share-based awards, including grants of stock options and performance awards. The </w:t>
      </w:r>
      <w:r>
        <w:rPr>
          <w:rStyle w:val="Emphasis"/>
          <w:rFonts w:ascii="Times New Roman" w:hAnsi="Times New Roman"/>
          <w:caps w:val="false"/>
          <w:smallCaps w:val="false"/>
          <w:sz w:val="20"/>
        </w:rPr>
        <w:t>2008</w:t>
      </w:r>
      <w:r>
        <w:rPr>
          <w:rFonts w:ascii="Times New Roman" w:hAnsi="Times New Roman"/>
          <w:caps w:val="false"/>
          <w:smallCaps w:val="false"/>
          <w:sz w:val="20"/>
        </w:rPr>
        <w:t xml:space="preserve"> Equity Plan expired in </w:t>
      </w:r>
      <w:r>
        <w:rPr>
          <w:rStyle w:val="Emphasis"/>
          <w:rFonts w:ascii="Times New Roman" w:hAnsi="Times New Roman"/>
          <w:caps w:val="false"/>
          <w:smallCaps w:val="false"/>
          <w:sz w:val="20"/>
        </w:rPr>
        <w:t xml:space="preserve">December 2017. </w:t>
      </w:r>
      <w:r>
        <w:rPr>
          <w:rFonts w:ascii="Times New Roman" w:hAnsi="Times New Roman"/>
          <w:caps w:val="false"/>
          <w:smallCaps w:val="false"/>
          <w:sz w:val="20"/>
        </w:rPr>
        <w:t xml:space="preserve">Share-based awards generally expire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i/>
          <w:caps w:val="false"/>
          <w:smallCaps w:val="false"/>
          <w:sz w:val="20"/>
        </w:rPr>
        <w:t>2018</w:t>
      </w:r>
      <w:r>
        <w:rPr>
          <w:rFonts w:ascii="Times New Roman" w:hAnsi="Times New Roman"/>
          <w:b/>
          <w:i/>
          <w:caps w:val="false"/>
          <w:smallCaps w:val="false"/>
          <w:sz w:val="20"/>
        </w:rPr>
        <w:t xml:space="preserve"> Equity Incentive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Company’s Board or a designated committee of the Board is responsible for administration of the Company’s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Omnibus Incentive Plan, as amended </w:t>
      </w:r>
      <w:r>
        <w:rPr>
          <w:rStyle w:val="Emphasis"/>
          <w:rFonts w:ascii="Times New Roman" w:hAnsi="Times New Roman"/>
          <w:caps w:val="false"/>
          <w:smallCaps w:val="false"/>
          <w:sz w:val="20"/>
        </w:rPr>
        <w:t>May 2022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and determines the terms and conditions of each option granted, consistent with the terms of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The Company’s employees, directors, and consultants are eligible to receive awards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including grants of stock options and performance awards. Share-based awards generally expire 10 years from the date of grant.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as amended in </w:t>
      </w:r>
      <w:r>
        <w:rPr>
          <w:rStyle w:val="Emphasis"/>
          <w:rFonts w:ascii="Times New Roman" w:hAnsi="Times New Roman"/>
          <w:caps w:val="false"/>
          <w:smallCaps w:val="false"/>
          <w:sz w:val="20"/>
        </w:rPr>
        <w:t>May 2022,</w:t>
      </w:r>
      <w:r>
        <w:rPr>
          <w:rFonts w:ascii="Times New Roman" w:hAnsi="Times New Roman"/>
          <w:caps w:val="false"/>
          <w:smallCaps w:val="false"/>
          <w:sz w:val="20"/>
        </w:rPr>
        <w:t xml:space="preserve"> provides for issuance of up to 5,000,000 shares of common stock, par value $0.001 per share, subject to adjustment as provided in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When stock options or performance awards are exercised net of the exercise price and taxes, the number of shares of stock issued is reduced by the number of shares equal to the amount of taxes owed by the award recipient and that number of shares are cancelled. The Company then uses its cash to pay tax authorities the amount of statutory taxes owed by and on behalf of the award recipient.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following summarizes information about stock option activity during </w:t>
      </w:r>
      <w:r>
        <w:rPr>
          <w:rStyle w:val="Emphasis"/>
          <w:rFonts w:ascii="Times New Roman" w:hAnsi="Times New Roman"/>
          <w:caps w:val="false"/>
          <w:smallCaps w:val="false"/>
          <w:sz w:val="20"/>
        </w:rPr>
        <w:t>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0"/>
        <w:gridCol w:w="60"/>
        <w:gridCol w:w="60"/>
        <w:gridCol w:w="905"/>
        <w:gridCol w:w="80"/>
        <w:gridCol w:w="60"/>
        <w:gridCol w:w="291"/>
        <w:gridCol w:w="1131"/>
        <w:gridCol w:w="60"/>
        <w:gridCol w:w="60"/>
        <w:gridCol w:w="259"/>
        <w:gridCol w:w="1559"/>
        <w:gridCol w:w="60"/>
        <w:gridCol w:w="60"/>
        <w:gridCol w:w="296"/>
        <w:gridCol w:w="1660"/>
        <w:gridCol w:w="64"/>
      </w:tblGrid>
      <w:tr>
        <w:trPr/>
        <w:tc>
          <w:tcPr>
            <w:tcW w:w="3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3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 Contractual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 Intrinsic Value</w:t>
            </w:r>
          </w:p>
        </w:tc>
        <w:tc>
          <w:tcPr>
            <w:tcW w:w="64" w:type="dxa"/>
            <w:tcBorders/>
            <w:shd w:fill="FFFFFF" w:val="clear"/>
            <w:vAlign w:val="center"/>
          </w:tcPr>
          <w:p>
            <w:pPr>
              <w:pStyle w:val="TableContents"/>
              <w:bidi w:val="0"/>
              <w:spacing w:before="0" w:after="283"/>
              <w:jc w:val="left"/>
              <w:rPr/>
            </w:pPr>
            <w:r>
              <w:rPr/>
              <w:t> </w:t>
            </w:r>
          </w:p>
        </w:tc>
      </w:tr>
      <w:tr>
        <w:trPr/>
        <w:tc>
          <w:tcPr>
            <w:tcW w:w="3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6"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3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5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54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Outstanding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4,463,028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5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288,000</w:t>
            </w:r>
          </w:p>
        </w:tc>
        <w:tc>
          <w:tcPr>
            <w:tcW w:w="64" w:type="dxa"/>
            <w:tcBorders/>
            <w:shd w:fill="CCEEFF" w:val="clear"/>
            <w:vAlign w:val="center"/>
          </w:tcPr>
          <w:p>
            <w:pPr>
              <w:pStyle w:val="TableContents"/>
              <w:bidi w:val="0"/>
              <w:spacing w:before="0" w:after="283"/>
              <w:jc w:val="left"/>
              <w:rPr/>
            </w:pPr>
            <w:r>
              <w:rPr/>
              <w:t> </w:t>
            </w:r>
          </w:p>
        </w:tc>
      </w:tr>
      <w:tr>
        <w:trPr/>
        <w:tc>
          <w:tcPr>
            <w:tcW w:w="354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559"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354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(225,209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559"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660"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35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forfeited/canceled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(1,735,725</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559"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660"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354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4,157,094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5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696,000</w:t>
            </w:r>
          </w:p>
        </w:tc>
        <w:tc>
          <w:tcPr>
            <w:tcW w:w="64" w:type="dxa"/>
            <w:tcBorders/>
            <w:shd w:fill="CCEEFF" w:val="clear"/>
            <w:vAlign w:val="center"/>
          </w:tcPr>
          <w:p>
            <w:pPr>
              <w:pStyle w:val="TableContents"/>
              <w:bidi w:val="0"/>
              <w:spacing w:before="0" w:after="283"/>
              <w:jc w:val="left"/>
              <w:rPr/>
            </w:pPr>
            <w:r>
              <w:rPr/>
              <w:t> </w:t>
            </w:r>
          </w:p>
        </w:tc>
      </w:tr>
      <w:tr>
        <w:trPr/>
        <w:tc>
          <w:tcPr>
            <w:tcW w:w="354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Vested and expected to vest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4,157,094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5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696,000</w:t>
            </w:r>
          </w:p>
        </w:tc>
        <w:tc>
          <w:tcPr>
            <w:tcW w:w="64" w:type="dxa"/>
            <w:tcBorders/>
            <w:shd w:fill="FFFFFF" w:val="clear"/>
            <w:vAlign w:val="center"/>
          </w:tcPr>
          <w:p>
            <w:pPr>
              <w:pStyle w:val="TableContents"/>
              <w:bidi w:val="0"/>
              <w:spacing w:before="0" w:after="283"/>
              <w:jc w:val="left"/>
              <w:rPr/>
            </w:pPr>
            <w:r>
              <w:rPr/>
              <w:t> </w:t>
            </w:r>
          </w:p>
        </w:tc>
      </w:tr>
      <w:tr>
        <w:trPr/>
        <w:tc>
          <w:tcPr>
            <w:tcW w:w="354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Exercisable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5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45,000</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there were 225,209 stock options exercised. Of the stock options exercised, 120,492 stock options were net settled in satisfaction of the exercise price, with no cash proceeds received. Cash proceeds to the Company for options </w:t>
      </w:r>
      <w:r>
        <w:rPr>
          <w:rStyle w:val="Emphasis"/>
          <w:rFonts w:ascii="Times New Roman" w:hAnsi="Times New Roman"/>
          <w:caps w:val="false"/>
          <w:smallCaps w:val="false"/>
          <w:sz w:val="20"/>
        </w:rPr>
        <w:t>not</w:t>
      </w:r>
      <w:r>
        <w:rPr>
          <w:rFonts w:ascii="Times New Roman" w:hAnsi="Times New Roman"/>
          <w:caps w:val="false"/>
          <w:smallCaps w:val="false"/>
          <w:sz w:val="20"/>
        </w:rPr>
        <w:t> net settled totaled $90,000 during the year ended </w:t>
      </w:r>
      <w:r>
        <w:rPr>
          <w:rStyle w:val="Emphasis"/>
          <w:rFonts w:ascii="Times New Roman" w:hAnsi="Times New Roman"/>
          <w:caps w:val="false"/>
          <w:smallCaps w:val="false"/>
          <w:sz w:val="20"/>
        </w:rPr>
        <w:t xml:space="preserve"> December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following summarizes information about stock options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by a range of exercise prices:</w:t>
      </w:r>
    </w:p>
    <w:p>
      <w:pPr>
        <w:pStyle w:val="TextBody"/>
        <w:bidi w:val="0"/>
        <w:spacing w:before="0" w:after="0"/>
        <w:ind w:left="0" w:right="0" w:hanging="0"/>
        <w:jc w:val="both"/>
        <w:rPr>
          <w:caps w:val="false"/>
          <w:smallCaps w:val="false"/>
        </w:rPr>
      </w:pPr>
      <w:r>
        <w:rPr>
          <w:caps w:val="false"/>
          <w:smallCaps w:val="false"/>
        </w:rPr>
        <w:t> </w:t>
      </w:r>
    </w:p>
    <w:tbl>
      <w:tblPr>
        <w:tblW w:w="7388" w:type="dxa"/>
        <w:jc w:val="left"/>
        <w:tblInd w:w="0" w:type="dxa"/>
        <w:tblLayout w:type="fixed"/>
        <w:tblCellMar>
          <w:top w:w="0" w:type="dxa"/>
          <w:left w:w="0" w:type="dxa"/>
          <w:bottom w:w="0" w:type="dxa"/>
          <w:right w:w="0" w:type="dxa"/>
        </w:tblCellMar>
      </w:tblPr>
      <w:tblGrid>
        <w:gridCol w:w="189"/>
        <w:gridCol w:w="734"/>
        <w:gridCol w:w="90"/>
        <w:gridCol w:w="90"/>
        <w:gridCol w:w="189"/>
        <w:gridCol w:w="734"/>
        <w:gridCol w:w="60"/>
        <w:gridCol w:w="60"/>
        <w:gridCol w:w="66"/>
        <w:gridCol w:w="944"/>
        <w:gridCol w:w="60"/>
        <w:gridCol w:w="60"/>
        <w:gridCol w:w="195"/>
        <w:gridCol w:w="904"/>
        <w:gridCol w:w="60"/>
        <w:gridCol w:w="60"/>
        <w:gridCol w:w="170"/>
        <w:gridCol w:w="660"/>
        <w:gridCol w:w="60"/>
        <w:gridCol w:w="60"/>
        <w:gridCol w:w="61"/>
        <w:gridCol w:w="870"/>
        <w:gridCol w:w="61"/>
        <w:gridCol w:w="61"/>
        <w:gridCol w:w="170"/>
        <w:gridCol w:w="660"/>
        <w:gridCol w:w="60"/>
      </w:tblGrid>
      <w:tr>
        <w:trPr/>
        <w:tc>
          <w:tcPr>
            <w:tcW w:w="189"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7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 exercisable</w:t>
            </w:r>
          </w:p>
        </w:tc>
        <w:tc>
          <w:tcPr>
            <w:tcW w:w="60"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rStyle w:val="Emphasis"/>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r>
      <w:tr>
        <w:trPr/>
        <w:tc>
          <w:tcPr>
            <w:tcW w:w="2026"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Range of exercise prices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vested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w:t>
            </w:r>
          </w:p>
        </w:tc>
        <w:tc>
          <w:tcPr>
            <w:tcW w:w="60" w:type="dxa"/>
            <w:tcBorders/>
            <w:vAlign w:val="center"/>
          </w:tcPr>
          <w:p>
            <w:pPr>
              <w:pStyle w:val="TableContents"/>
              <w:bidi w:val="0"/>
              <w:spacing w:before="0" w:after="283"/>
              <w:jc w:val="left"/>
              <w:rPr/>
            </w:pPr>
            <w:r>
              <w:rPr/>
              <w:t> </w:t>
            </w:r>
          </w:p>
        </w:tc>
      </w:tr>
      <w:tr>
        <w:trPr/>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From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r>
      <w:tr>
        <w:trPr/>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0.95</w:t>
            </w:r>
          </w:p>
        </w:tc>
        <w:tc>
          <w:tcPr>
            <w:tcW w:w="60" w:type="dxa"/>
            <w:tcBorders/>
            <w:shd w:fill="CCEEFF" w:val="clear"/>
            <w:vAlign w:val="center"/>
          </w:tcPr>
          <w:p>
            <w:pPr>
              <w:pStyle w:val="TableContents"/>
              <w:bidi w:val="0"/>
              <w:spacing w:before="0" w:after="283"/>
              <w:jc w:val="left"/>
              <w:rPr/>
            </w:pPr>
            <w:r>
              <w:rPr/>
              <w:t> </w:t>
            </w:r>
          </w:p>
        </w:tc>
      </w:tr>
      <w:tr>
        <w:trPr/>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8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393,212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60" w:type="dxa"/>
            <w:tcBorders/>
            <w:shd w:fill="CCEEFF" w:val="clear"/>
            <w:vAlign w:val="center"/>
          </w:tcPr>
          <w:p>
            <w:pPr>
              <w:pStyle w:val="TableContents"/>
              <w:bidi w:val="0"/>
              <w:spacing w:before="0" w:after="283"/>
              <w:jc w:val="left"/>
              <w:rPr/>
            </w:pPr>
            <w:r>
              <w:rPr/>
              <w:t> </w:t>
            </w:r>
          </w:p>
        </w:tc>
      </w:tr>
      <w:tr>
        <w:trPr/>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824,903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w:t>
            </w:r>
          </w:p>
        </w:tc>
        <w:tc>
          <w:tcPr>
            <w:tcW w:w="60" w:type="dxa"/>
            <w:tcBorders/>
            <w:shd w:fill="FFFFFF" w:val="clear"/>
            <w:vAlign w:val="center"/>
          </w:tcPr>
          <w:p>
            <w:pPr>
              <w:pStyle w:val="TableContents"/>
              <w:bidi w:val="0"/>
              <w:spacing w:before="0" w:after="283"/>
              <w:jc w:val="left"/>
              <w:rPr/>
            </w:pPr>
            <w:r>
              <w:rPr/>
              <w:t> </w:t>
            </w:r>
          </w:p>
        </w:tc>
      </w:tr>
      <w:tr>
        <w:trPr/>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304,937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37.48</w:t>
            </w:r>
          </w:p>
        </w:tc>
        <w:tc>
          <w:tcPr>
            <w:tcW w:w="60" w:type="dxa"/>
            <w:tcBorders/>
            <w:shd w:fill="CCEEFF" w:val="clear"/>
            <w:vAlign w:val="center"/>
          </w:tcPr>
          <w:p>
            <w:pPr>
              <w:pStyle w:val="TableContents"/>
              <w:bidi w:val="0"/>
              <w:spacing w:before="0" w:after="283"/>
              <w:jc w:val="left"/>
              <w:rPr/>
            </w:pPr>
            <w:r>
              <w:rPr/>
              <w:t> </w:t>
            </w:r>
          </w:p>
        </w:tc>
      </w:tr>
      <w:tr>
        <w:trPr/>
        <w:tc>
          <w:tcPr>
            <w:tcW w:w="189"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rStyle w:val="Emphasis"/>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4,157,094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1,557,052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The Company uses Black-Scholes to estimate the fair value of options granted. Black-Scholes considers a number of factors, including the market price of the Company’s common stock. Factors utilized in Black-Scholes to value each stock option granted, and the weighted average fair value of options granted during the years ended </w:t>
      </w:r>
      <w:r>
        <w:rPr>
          <w:rStyle w:val="Emphasis"/>
          <w:rFonts w:ascii="Times New Roman" w:hAnsi="Times New Roman"/>
          <w:caps w:val="false"/>
          <w:smallCaps w:val="false"/>
          <w:sz w:val="20"/>
        </w:rPr>
        <w:t xml:space="preserve"> 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were as follows:</w:t>
      </w:r>
    </w:p>
    <w:p>
      <w:pPr>
        <w:pStyle w:val="TextBody"/>
        <w:bidi w:val="0"/>
        <w:spacing w:before="0" w:after="0"/>
        <w:ind w:left="0" w:right="0" w:firstLine="36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4310"/>
        <w:gridCol w:w="60"/>
        <w:gridCol w:w="125"/>
        <w:gridCol w:w="1325"/>
        <w:gridCol w:w="60"/>
        <w:gridCol w:w="60"/>
        <w:gridCol w:w="125"/>
        <w:gridCol w:w="1325"/>
        <w:gridCol w:w="185"/>
        <w:gridCol w:w="60"/>
        <w:gridCol w:w="125"/>
        <w:gridCol w:w="1325"/>
        <w:gridCol w:w="60"/>
      </w:tblGrid>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Volatility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 to 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 to 170%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 to 155%</w:t>
            </w:r>
          </w:p>
        </w:tc>
        <w:tc>
          <w:tcPr>
            <w:tcW w:w="6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Risk-free interest rates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 to 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 to 4.47%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 to 4.37%</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Expected life of option (in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zero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zero</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0"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zero</w:t>
            </w:r>
          </w:p>
        </w:tc>
        <w:tc>
          <w:tcPr>
            <w:tcW w:w="6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Forfeiture rate</w:t>
            </w:r>
          </w:p>
        </w:tc>
        <w:tc>
          <w:tcPr>
            <w:tcW w:w="60" w:type="dxa"/>
            <w:tcBorders/>
            <w:shd w:fill="CCEEFF" w:val="clear"/>
            <w:vAlign w:val="center"/>
          </w:tcPr>
          <w:p>
            <w:pPr>
              <w:pStyle w:val="TableContents"/>
              <w:bidi w:val="0"/>
              <w:spacing w:before="0" w:after="283"/>
              <w:ind w:left="0" w:right="0" w:hanging="0"/>
              <w:jc w:val="left"/>
              <w:rPr/>
            </w:pPr>
            <w:r>
              <w:rPr/>
              <w:t> </w:t>
            </w:r>
          </w:p>
        </w:tc>
        <w:tc>
          <w:tcPr>
            <w:tcW w:w="1450"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zero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0"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0" w:type="dxa"/>
            <w:gridSpan w:val="2"/>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zero</w:t>
            </w:r>
          </w:p>
        </w:tc>
        <w:tc>
          <w:tcPr>
            <w:tcW w:w="6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fair value of stock options granted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Volatility is based on reviews of the historical volatility of the Company’s common stock. Risk-free interest rates are based on yields of U.S. treasury notes in effect at the date of grant. Expected life of option is based on actual historical option exercises. Dividend yield is zero because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paying cash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Company expects to recognize compensation expense of $24.5 million related to non-vested options held by equity plan participants over the weighted average remaining recognition period of 2.4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Performance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following summarizes information about performance award activity during </w:t>
      </w:r>
      <w:r>
        <w:rPr>
          <w:rStyle w:val="Emphasis"/>
          <w:rFonts w:ascii="Times New Roman" w:hAnsi="Times New Roman"/>
          <w:caps w:val="false"/>
          <w:smallCaps w:val="false"/>
          <w:sz w:val="20"/>
        </w:rPr>
        <w:t>2025:</w:t>
      </w:r>
    </w:p>
    <w:p>
      <w:pPr>
        <w:pStyle w:val="TextBody"/>
        <w:bidi w:val="0"/>
        <w:spacing w:before="0" w:after="0"/>
        <w:ind w:left="0" w:right="0" w:firstLine="360"/>
        <w:jc w:val="both"/>
        <w:rPr>
          <w:caps w:val="false"/>
          <w:smallCaps w:val="false"/>
        </w:rPr>
      </w:pPr>
      <w:r>
        <w:rPr>
          <w:caps w:val="false"/>
          <w:smallCaps w:val="false"/>
        </w:rPr>
        <w:t> </w:t>
      </w:r>
    </w:p>
    <w:tbl>
      <w:tblPr>
        <w:tblW w:w="5859" w:type="dxa"/>
        <w:jc w:val="left"/>
        <w:tblInd w:w="0" w:type="dxa"/>
        <w:tblLayout w:type="fixed"/>
        <w:tblCellMar>
          <w:top w:w="0" w:type="dxa"/>
          <w:left w:w="0" w:type="dxa"/>
          <w:bottom w:w="0" w:type="dxa"/>
          <w:right w:w="0" w:type="dxa"/>
        </w:tblCellMar>
      </w:tblPr>
      <w:tblGrid>
        <w:gridCol w:w="3065"/>
        <w:gridCol w:w="60"/>
        <w:gridCol w:w="293"/>
        <w:gridCol w:w="2381"/>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Performance Awards</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Outstanding as of December 31, 2024</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23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7,142</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23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23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Forfeited/canceled</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If and when outstanding Performance Awards vest, the Company would recognize $101,000 in stock-based compensation expense. These performance awards expire in </w:t>
      </w:r>
      <w:r>
        <w:rPr>
          <w:rStyle w:val="Emphasis"/>
          <w:rFonts w:ascii="Times New Roman" w:hAnsi="Times New Roman"/>
          <w:caps w:val="false"/>
          <w:smallCaps w:val="false"/>
          <w:sz w:val="20"/>
        </w:rPr>
        <w:t>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summarizes information about stock-based compensation expense, in thousands:</w:t>
      </w:r>
    </w:p>
    <w:p>
      <w:pPr>
        <w:pStyle w:val="TextBody"/>
        <w:bidi w:val="0"/>
        <w:spacing w:before="0" w:after="0"/>
        <w:ind w:left="0" w:right="0" w:firstLine="36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3350"/>
        <w:gridCol w:w="60"/>
        <w:gridCol w:w="125"/>
        <w:gridCol w:w="590"/>
        <w:gridCol w:w="60"/>
        <w:gridCol w:w="60"/>
        <w:gridCol w:w="125"/>
        <w:gridCol w:w="590"/>
        <w:gridCol w:w="60"/>
        <w:gridCol w:w="60"/>
        <w:gridCol w:w="125"/>
        <w:gridCol w:w="485"/>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Years ended December 31,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2,536</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13, 2024, </w:t>
      </w:r>
      <w:r>
        <w:rPr>
          <w:rFonts w:ascii="Times New Roman" w:hAnsi="Times New Roman"/>
          <w:caps w:val="false"/>
          <w:smallCaps w:val="false"/>
          <w:sz w:val="20"/>
        </w:rPr>
        <w:t xml:space="preserve">the Company entered into a Consulting Agreement with our former President and Chief Executive Officer for a period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which was subsequently terminated on </w:t>
      </w:r>
      <w:r>
        <w:rPr>
          <w:rStyle w:val="Emphasis"/>
          <w:rFonts w:ascii="Times New Roman" w:hAnsi="Times New Roman"/>
          <w:caps w:val="false"/>
          <w:smallCaps w:val="false"/>
          <w:sz w:val="20"/>
        </w:rPr>
        <w:t xml:space="preserve">January 23, 2025. </w:t>
      </w:r>
      <w:r>
        <w:rPr>
          <w:rFonts w:ascii="Times New Roman" w:hAnsi="Times New Roman"/>
          <w:caps w:val="false"/>
          <w:smallCaps w:val="false"/>
          <w:sz w:val="20"/>
        </w:rPr>
        <w:t xml:space="preserve">The services to be provided under the Consulting Agreement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deemed substantive for continuous service requirements of stock option vesting, resulting in a stock option modification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The Company's stock-based compensation expense for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included approximately $0.6 million from the stock option modification accounting. See further discussion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under “Related Party Transactions”. There were no such costs during the years ended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Employee </w:t>
      </w:r>
      <w:r>
        <w:rPr>
          <w:rStyle w:val="Emphasis"/>
          <w:rFonts w:ascii="Times New Roman" w:hAnsi="Times New Roman"/>
          <w:b/>
          <w:caps w:val="false"/>
          <w:smallCaps w:val="false"/>
          <w:sz w:val="20"/>
        </w:rPr>
        <w:t>401</w:t>
      </w:r>
      <w:r>
        <w:rPr>
          <w:rFonts w:ascii="Times New Roman" w:hAnsi="Times New Roman"/>
          <w:b/>
          <w:caps w:val="false"/>
          <w:smallCaps w:val="false"/>
          <w:sz w:val="20"/>
        </w:rPr>
        <w:t>(k) Benefit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has a defined-contribution savings plan under Section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of the Internal Revenue Code. The plan covers substantially all employees. Employees are eligible to participate in the plan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the month after hire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contribute up to the current statutory limits under Internal Revenue Service regulations.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permits the Company to make additional matching contributions on behalf of all employees. Through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Company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made any matching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Beginning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the Company will match each employee’s </w:t>
      </w:r>
      <w:r>
        <w:rPr>
          <w:rStyle w:val="Emphasis"/>
          <w:rFonts w:ascii="Times New Roman" w:hAnsi="Times New Roman"/>
          <w:caps w:val="false"/>
          <w:smallCaps w:val="false"/>
          <w:sz w:val="20"/>
        </w:rPr>
        <w:t>401</w:t>
      </w:r>
      <w:r>
        <w:rPr>
          <w:rFonts w:ascii="Times New Roman" w:hAnsi="Times New Roman"/>
          <w:caps w:val="false"/>
          <w:smallCaps w:val="false"/>
          <w:sz w:val="20"/>
        </w:rPr>
        <w:t>(k) plan contributions dollar-for-dollar (100%) up to a maximum of $6,000 per annum.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for income taxes during the periods presented because it had book and federal taxable losses in those years and the tax benefit that would have resulted from the pre-tax losses was fully offset by a change in the valuation allowance.</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reconciliation of the statutory federal income tax rate to the Company’s effective tax rate for periods presented was as follows:</w:t>
      </w:r>
    </w:p>
    <w:p>
      <w:pPr>
        <w:pStyle w:val="TextBody"/>
        <w:bidi w:val="0"/>
        <w:spacing w:before="0" w:after="0"/>
        <w:ind w:left="0" w:right="0" w:firstLine="360"/>
        <w:jc w:val="both"/>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3350"/>
        <w:gridCol w:w="60"/>
        <w:gridCol w:w="125"/>
        <w:gridCol w:w="650"/>
        <w:gridCol w:w="80"/>
        <w:gridCol w:w="60"/>
        <w:gridCol w:w="60"/>
        <w:gridCol w:w="440"/>
        <w:gridCol w:w="185"/>
        <w:gridCol w:w="60"/>
        <w:gridCol w:w="60"/>
        <w:gridCol w:w="440"/>
        <w:gridCol w:w="185"/>
        <w:gridCol w:w="60"/>
        <w:gridCol w:w="60"/>
        <w:gridCol w:w="440"/>
        <w:gridCol w:w="18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statutory tax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162(m) limitation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 settlement payment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attribute expiration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 tax positions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tax, net of federal benefit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income tax rate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Deferred tax assets and valuation allowance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Deferred tax assets reflect the tax effects of net operating loss and tax credit carryforwards and temporary differences between the carrying amounts of assets and liabilities for financial reporting purposes and the amounts used for income tax purposes. The Company’s deferred taxes assets at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were valued at the corporate tax rate of 21%. The Company offsets its deferred tax assets by a valuation allowance because it is uncertain about the timing and amount of any future profits. Significant components of its deferred tax assets are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3905"/>
        <w:gridCol w:w="60"/>
        <w:gridCol w:w="125"/>
        <w:gridCol w:w="755"/>
        <w:gridCol w:w="80"/>
        <w:gridCol w:w="60"/>
        <w:gridCol w:w="125"/>
        <w:gridCol w:w="650"/>
        <w:gridCol w:w="80"/>
      </w:tblGrid>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operating loss carryforwards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78,632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43,148</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Legal reserves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4,814</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 credit carryforwards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13,789</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Capitalized research and development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33,598</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1,340</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96,689</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deferred tax asset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valuation allowance increased by $15.1 million and $19.4 million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due primarily to continuing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Company’s net operating loss carryforwards of $374.4 million are federal, of which $74.1 million expires between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2037</w:t>
      </w:r>
      <w:r>
        <w:rPr>
          <w:rFonts w:ascii="Times New Roman" w:hAnsi="Times New Roman"/>
          <w:caps w:val="false"/>
          <w:smallCaps w:val="false"/>
          <w:sz w:val="20"/>
        </w:rPr>
        <w:t xml:space="preserve"> and $300.3 million carries forward indefinitely.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had federal research and development tax credits of approximately $22.4 million, which expire in the years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through </w:t>
      </w:r>
      <w:r>
        <w:rPr>
          <w:rStyle w:val="Emphasis"/>
          <w:rFonts w:ascii="Times New Roman" w:hAnsi="Times New Roman"/>
          <w:caps w:val="false"/>
          <w:smallCaps w:val="false"/>
          <w:sz w:val="20"/>
        </w:rPr>
        <w:t>2045.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Unrecognized tax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has unrecognized tax benefits related to tax credits of $9.0 million, $9.2 million and $8.4 million, respectively.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unrecognized tax benefits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if recognized, would impact the effective tax rate due to the valuation allowance and no interest or penalties have been recognized. A reconciliation of the beginning and ending balance of unrecognized tax benefits is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7061" w:type="dxa"/>
        <w:jc w:val="left"/>
        <w:tblInd w:w="0" w:type="dxa"/>
        <w:tblLayout w:type="fixed"/>
        <w:tblCellMar>
          <w:top w:w="0" w:type="dxa"/>
          <w:left w:w="0" w:type="dxa"/>
          <w:bottom w:w="0" w:type="dxa"/>
          <w:right w:w="0" w:type="dxa"/>
        </w:tblCellMar>
      </w:tblPr>
      <w:tblGrid>
        <w:gridCol w:w="4805"/>
        <w:gridCol w:w="60"/>
        <w:gridCol w:w="125"/>
        <w:gridCol w:w="487"/>
        <w:gridCol w:w="80"/>
        <w:gridCol w:w="60"/>
        <w:gridCol w:w="125"/>
        <w:gridCol w:w="487"/>
        <w:gridCol w:w="80"/>
        <w:gridCol w:w="60"/>
        <w:gridCol w:w="125"/>
        <w:gridCol w:w="487"/>
        <w:gridCol w:w="80"/>
      </w:tblGrid>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6,496</w:t>
            </w:r>
          </w:p>
        </w:tc>
        <w:tc>
          <w:tcPr>
            <w:tcW w:w="8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Expired research and development tax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Additions based on tax positions related to the current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1,967</w:t>
            </w:r>
          </w:p>
        </w:tc>
        <w:tc>
          <w:tcPr>
            <w:tcW w:w="8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8,413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unrecognized tax benefits that we expect would change significantly over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files U.S. and Texas income tax returns. In the United States, the statute of limitations with respect to the federal income tax returns for tax years after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are open to audit; however, since the Company has net operating losses, the taxing authority has the ability to review tax returns prior to the 2022 tax year and make adjustments to these net operating loss carryforwards. We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under audit in any taxing jurisdiction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conducts its product research and development programs through a combination of internal and collaborative programs that include, among others, arrangements with universities, contract research organizations and clinical research sites. The Company has contractual arrangements with these organizations that are cancelable. The Company’s obligations under these contracts are largely based on services performed. The Company also had non-cancellable commitments for the manufacture of simufilam's active pharmaceutical ingredient totaling approximately $0.8 million recorded in prepaid expenses and other current assets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compared to $1.2 million at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Company is dependent on contract development and manufacturing organizations for the manufacture of all our materials for clinical studies.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26, 2025, </w:t>
      </w:r>
      <w:r>
        <w:rPr>
          <w:rFonts w:ascii="Times New Roman" w:hAnsi="Times New Roman"/>
          <w:caps w:val="false"/>
          <w:smallCaps w:val="false"/>
          <w:sz w:val="20"/>
        </w:rPr>
        <w:t xml:space="preserve">the Company entered into a License Agreement (the “License Agreement”) with Yale University (“Yale”) pursuant to which the Company was granted exclusive worldwide rights, with rights to sublicense, to Yale’s interest in certain patent and other intellectual property rights that could be useful or necessary to the development and commercialization of simufilam for the treatment of Tuberous Sclerosis Complex (TSC)-related epilepsy and other potential indications. Pursuant to the License Agreement, the Company has agreed to use reasonable commercial efforts to implement a plan that it has designed for such development and commercialization. In exchange for the rights acquired pursuant to the License Agreement, the Company paid Yale (i) a nominal upfront license fee, and agreed to pay (ii) payments upon the achievement of specified clinical, regulatory and commercial milestones, totaling up to $4.5 million and (iii) upon transfer to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in connection with a regulatory priority review voucher, if issued, a low-to-mid double digit percentage of any consideration received for such transfer. The Company also agreed to pay Yale tiered royalties, ranging from a low- to mid- single digit percentage, on aggregate net sales of licensed products, subject to tiered minimum annual royalty payments ranging from the low- to mid- hundreds of thousands of dollars.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License Agreement payments made, other than the nominal upfront license fee, during the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pPr>
      <w:r>
        <w:rPr/>
        <w:t> </w:t>
      </w:r>
    </w:p>
    <w:p>
      <w:pPr>
        <w:pStyle w:val="TextBody"/>
        <w:bidi w:val="0"/>
        <w:spacing w:before="0" w:after="0"/>
        <w:ind w:left="0" w:right="0" w:firstLine="180"/>
        <w:jc w:val="both"/>
        <w:rPr/>
      </w:pPr>
      <w:r>
        <w:rPr>
          <w:rFonts w:ascii="Times New Roman" w:hAnsi="Times New Roman"/>
          <w:caps w:val="false"/>
          <w:smallCaps w:val="false"/>
          <w:sz w:val="20"/>
        </w:rPr>
        <w:t xml:space="preserve">Unless earlier terminated, the License Agreement will continue on a country-by-country basis until the later of (i) the date on which the last valid claim of the license patents expires or otherwise lapses, (ii) the end of any government or regulatory exclusivity period, and (iii)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years following the date of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sale of licensed product in such country.</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94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2020</w:t>
      </w:r>
      <w:r>
        <w:rPr>
          <w:rFonts w:ascii="Times New Roman" w:hAnsi="Times New Roman"/>
          <w:b/>
          <w:caps w:val="false"/>
          <w:smallCaps w:val="false"/>
          <w:sz w:val="20"/>
        </w:rPr>
        <w:t xml:space="preserve"> Cash Incentive Bonus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 xml:space="preserve">the Board approved the CIB Plan. The CIB Plan was subsequently amended, as described below on </w:t>
      </w:r>
      <w:r>
        <w:rPr>
          <w:rStyle w:val="Emphasis"/>
          <w:rFonts w:ascii="Times New Roman" w:hAnsi="Times New Roman"/>
          <w:caps w:val="false"/>
          <w:smallCaps w:val="false"/>
          <w:sz w:val="20"/>
        </w:rPr>
        <w:t xml:space="preserve">March 6, 2025. </w:t>
      </w:r>
      <w:r>
        <w:rPr>
          <w:rFonts w:ascii="Times New Roman" w:hAnsi="Times New Roman"/>
          <w:caps w:val="false"/>
          <w:smallCaps w:val="false"/>
          <w:sz w:val="20"/>
        </w:rPr>
        <w:t>The CIB Plan was established as an “at-risk” cash bonus program that would reward CIB Plan participants with additional cash compensation in lockstep with significant increases in the Company’s market valuation (as measured by market capitalization or potential merger consideration). The CIB Plan is considered “at-risk” because CIB Plan participants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 a cash bonus unless the Company’s market valuation increases significantly and certain other conditions specified in the CIB Plan are met. Specifically, CIB Plan participants will </w:t>
      </w:r>
      <w:r>
        <w:rPr>
          <w:rStyle w:val="Emphasis"/>
          <w:rFonts w:ascii="Times New Roman" w:hAnsi="Times New Roman"/>
          <w:caps w:val="false"/>
          <w:smallCaps w:val="false"/>
          <w:sz w:val="20"/>
        </w:rPr>
        <w:t>not</w:t>
      </w:r>
      <w:r>
        <w:rPr>
          <w:rFonts w:ascii="Times New Roman" w:hAnsi="Times New Roman"/>
          <w:caps w:val="false"/>
          <w:smallCaps w:val="false"/>
          <w:sz w:val="20"/>
        </w:rPr>
        <w:t> be paid any cash bonuses unless (</w:t>
      </w:r>
      <w:r>
        <w:rPr>
          <w:rStyle w:val="Emphasis"/>
          <w:rFonts w:ascii="Times New Roman" w:hAnsi="Times New Roman"/>
          <w:caps w:val="false"/>
          <w:smallCaps w:val="false"/>
          <w:sz w:val="20"/>
        </w:rPr>
        <w:t>1</w:t>
      </w:r>
      <w:r>
        <w:rPr>
          <w:rFonts w:ascii="Times New Roman" w:hAnsi="Times New Roman"/>
          <w:caps w:val="false"/>
          <w:smallCaps w:val="false"/>
          <w:sz w:val="20"/>
        </w:rPr>
        <w:t>) the Company completes a merger or acquisition transaction that constitutes a sale of ownership of the Company or its assets (a Merger Transaction) or (</w:t>
      </w:r>
      <w:r>
        <w:rPr>
          <w:rStyle w:val="Emphasis"/>
          <w:rFonts w:ascii="Times New Roman" w:hAnsi="Times New Roman"/>
          <w:caps w:val="false"/>
          <w:smallCaps w:val="false"/>
          <w:sz w:val="20"/>
        </w:rPr>
        <w:t>2</w:t>
      </w:r>
      <w:r>
        <w:rPr>
          <w:rFonts w:ascii="Times New Roman" w:hAnsi="Times New Roman"/>
          <w:caps w:val="false"/>
          <w:smallCaps w:val="false"/>
          <w:sz w:val="20"/>
        </w:rPr>
        <w:t>) the Compensation Committee of the Board (the “Compensation Committee”) determines the Company has sufficient cash on hand, as defined in the CIB Plan. CIB Plan participants will be paid all earned cash bonuses allocated under the CIB Plan in the event of a Merger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Because of the inherent discretion and uncertainty regarding the CIB Plan requirements, the Company has concluded that a CIB Plan grant date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occurred as of </w:t>
      </w:r>
      <w:r>
        <w:rPr>
          <w:rStyle w:val="Emphasis"/>
          <w:rFonts w:ascii="Times New Roman" w:hAnsi="Times New Roman"/>
          <w:caps w:val="false"/>
          <w:smallCaps w:val="false"/>
          <w:sz w:val="20"/>
        </w:rPr>
        <w:t>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Company’s market valuation for purposes of the CIB Plan is determined based on either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closing price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the Company's common stock on the Nasdaq Capital Market multiplied by the total issued and outstanding shares and options to purchase shares of the Company, or (</w:t>
      </w:r>
      <w:r>
        <w:rPr>
          <w:rStyle w:val="Emphasis"/>
          <w:rFonts w:ascii="Times New Roman" w:hAnsi="Times New Roman"/>
          <w:caps w:val="false"/>
          <w:smallCaps w:val="false"/>
          <w:sz w:val="20"/>
        </w:rPr>
        <w:t>2</w:t>
      </w:r>
      <w:r>
        <w:rPr>
          <w:rFonts w:ascii="Times New Roman" w:hAnsi="Times New Roman"/>
          <w:caps w:val="false"/>
          <w:smallCaps w:val="false"/>
          <w:sz w:val="20"/>
        </w:rPr>
        <w:t>) the aggregate consideration payable to security holders of the Company in a Merger Transaction. This constitutes a market condition under applicable accounting guidance.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CIB Plan (as amended </w:t>
      </w:r>
      <w:r>
        <w:rPr>
          <w:rStyle w:val="Emphasis"/>
          <w:rFonts w:ascii="Times New Roman" w:hAnsi="Times New Roman"/>
          <w:caps w:val="false"/>
          <w:smallCaps w:val="false"/>
          <w:sz w:val="20"/>
        </w:rPr>
        <w:t xml:space="preserve">March 6, 2025) </w:t>
      </w:r>
      <w:r>
        <w:rPr>
          <w:rFonts w:ascii="Times New Roman" w:hAnsi="Times New Roman"/>
          <w:caps w:val="false"/>
          <w:smallCaps w:val="false"/>
          <w:sz w:val="20"/>
        </w:rPr>
        <w:t xml:space="preserve">triggers a potential cash bonus each time the Company’s market valuation increases significantly, up to a maximum $5 billion in market capitalization (or up to a maximum $8 billion in merger consideration). The CIB Plan specifies incremental amounts between $200 million and $5 billion in market capitalization (or $8 billion in merger consideration) (each increment, a “Valuation Milestone”). Each Valuation Milestone triggers a potential cash bonus award in a pre-set amount defined in the CIB Plan. Each Valuation Milestone based on market capitalization must be achieved and maintained for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less than 20 consecutive trading days for CIB Plan participants to be eligible for a potential cash bonus award (the “Market Capitalization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Payment of cash bonuses is deferred until such time as (</w:t>
      </w:r>
      <w:r>
        <w:rPr>
          <w:rStyle w:val="Emphasis"/>
          <w:rFonts w:ascii="Times New Roman" w:hAnsi="Times New Roman"/>
          <w:caps w:val="false"/>
          <w:smallCaps w:val="false"/>
          <w:sz w:val="20"/>
        </w:rPr>
        <w:t>1</w:t>
      </w:r>
      <w:r>
        <w:rPr>
          <w:rFonts w:ascii="Times New Roman" w:hAnsi="Times New Roman"/>
          <w:caps w:val="false"/>
          <w:smallCaps w:val="false"/>
          <w:sz w:val="20"/>
        </w:rPr>
        <w:t>) the Company completes a Merger Transaction, or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Compensation Committee determines the Company has sufficient cash on hand to render payment (each, a “Performance Condition”), neither of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ever occur. Accordingly, CIB Plan participants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never be paid a cash bonus that is awarded under the CIB Plan, even if the Company’s market capitalization increases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CIB Plan is accounted for as a liability award. The fair value of each Valuation Milestone award will be determined once a grant date occurs and will be remeasured each reporting period. Compensation expense associated with the CIB Plan will be recognized over the expected achievement period for each of the Valuation Milestones, when a Performance Condition is considered probable of being met.</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2020, </w:t>
      </w:r>
      <w:r>
        <w:rPr>
          <w:rFonts w:ascii="Times New Roman" w:hAnsi="Times New Roman"/>
          <w:caps w:val="false"/>
          <w:smallCaps w:val="false"/>
          <w:sz w:val="20"/>
        </w:rPr>
        <w:t xml:space="preserve">the Company achieved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Valuation Milestone based on market capitalization. Subsequently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Compensation Committee approved a potential cash bonus award of $6.5 million in total for all CIB Plan participants (after taking into account a </w:t>
      </w:r>
      <w:r>
        <w:rPr>
          <w:rStyle w:val="Emphasis"/>
          <w:rFonts w:ascii="Times New Roman" w:hAnsi="Times New Roman"/>
          <w:caps w:val="false"/>
          <w:smallCaps w:val="false"/>
          <w:sz w:val="20"/>
        </w:rPr>
        <w:t xml:space="preserve"> March 2023 </w:t>
      </w:r>
      <w:r>
        <w:rPr>
          <w:rFonts w:ascii="Times New Roman" w:hAnsi="Times New Roman"/>
          <w:caps w:val="false"/>
          <w:smallCaps w:val="false"/>
          <w:sz w:val="20"/>
        </w:rPr>
        <w:t xml:space="preserve">CIB Plan amendment), subject to future satisfaction of a Performance Condition.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continuing service requirement for CIB Plan participants once the Compensation Committee approves a cash bonus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the Company achieved 11 additional Valuation Milestones based on market capitalization. The achievement of these 11 milestones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triggered a non-discretionary potential Company obligation to the Company’s Chairman, President and CEO (assuming such person holds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such offices) of $74.3 million (after taking into account a </w:t>
      </w:r>
      <w:r>
        <w:rPr>
          <w:rStyle w:val="Emphasis"/>
          <w:rFonts w:ascii="Times New Roman" w:hAnsi="Times New Roman"/>
          <w:caps w:val="false"/>
          <w:smallCaps w:val="false"/>
          <w:sz w:val="20"/>
        </w:rPr>
        <w:t xml:space="preserve"> March 2023 </w:t>
      </w:r>
      <w:r>
        <w:rPr>
          <w:rFonts w:ascii="Times New Roman" w:hAnsi="Times New Roman"/>
          <w:caps w:val="false"/>
          <w:smallCaps w:val="false"/>
          <w:sz w:val="20"/>
        </w:rPr>
        <w:t>CIB Plan amendment) and contingent upon future satisfaction of a Performance Condition. However, </w:t>
      </w:r>
      <w:r>
        <w:rPr>
          <w:rStyle w:val="Emphasis"/>
          <w:rFonts w:ascii="Times New Roman" w:hAnsi="Times New Roman"/>
          <w:caps w:val="false"/>
          <w:smallCaps w:val="false"/>
          <w:sz w:val="20"/>
        </w:rPr>
        <w:t>no</w:t>
      </w:r>
      <w:r>
        <w:rPr>
          <w:rFonts w:ascii="Times New Roman" w:hAnsi="Times New Roman"/>
          <w:caps w:val="false"/>
          <w:smallCaps w:val="false"/>
          <w:sz w:val="20"/>
        </w:rPr>
        <w:t> compensation expense has been recorded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payments have been made since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grant date has occurred and </w:t>
      </w:r>
      <w:r>
        <w:rPr>
          <w:rStyle w:val="Emphasis"/>
          <w:rFonts w:ascii="Times New Roman" w:hAnsi="Times New Roman"/>
          <w:caps w:val="false"/>
          <w:smallCaps w:val="false"/>
          <w:sz w:val="20"/>
        </w:rPr>
        <w:t>no</w:t>
      </w:r>
      <w:r>
        <w:rPr>
          <w:rFonts w:ascii="Times New Roman" w:hAnsi="Times New Roman"/>
          <w:caps w:val="false"/>
          <w:smallCaps w:val="false"/>
          <w:sz w:val="20"/>
        </w:rPr>
        <w:t> Performance Conditions are considered probable of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No Valuation Milestones were achieved during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13, 2025, </w:t>
      </w:r>
      <w:r>
        <w:rPr>
          <w:rFonts w:ascii="Times New Roman" w:hAnsi="Times New Roman"/>
          <w:caps w:val="false"/>
          <w:smallCaps w:val="false"/>
          <w:sz w:val="20"/>
        </w:rPr>
        <w:t xml:space="preserve">the Compensation Committee concluded that no discretionary cash bonus amounts would be awarded for the 11 Valuation Milestones achieved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nor for any remaining CIB Plan Valuation Milestones which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achieved. Thus, the only CIB Plan participant who could be eligible for cash bonus amounts based on future Valuation Milestone achievement is the Chairman, President and CEO (assuming such person holds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such offices), providing that, other than in connection with a Merger Transaction,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bonus payments will be made to such person unless and until the U.S. Food and Drug Administration has approved simufilam for any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discussed in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January 24, 2025, </w:t>
      </w:r>
      <w:r>
        <w:rPr>
          <w:rFonts w:ascii="Times New Roman" w:hAnsi="Times New Roman"/>
          <w:caps w:val="false"/>
          <w:smallCaps w:val="false"/>
          <w:sz w:val="20"/>
        </w:rPr>
        <w:t xml:space="preserve">the Delaware Court of Chancery entered a Final Order and Judgment approving the Stipulation and dismissing an action related to the CIB Plan with prejudice. The Final Order and Judgment required the Company to further amend the CIB Plan, as provided in the Stipulation, which was completed on </w:t>
      </w:r>
      <w:r>
        <w:rPr>
          <w:rStyle w:val="Emphasis"/>
          <w:rFonts w:ascii="Times New Roman" w:hAnsi="Times New Roman"/>
          <w:caps w:val="false"/>
          <w:smallCaps w:val="false"/>
          <w:sz w:val="20"/>
        </w:rPr>
        <w:t xml:space="preserve">March 6, 2025.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March 6, 2025 </w:t>
      </w:r>
      <w:r>
        <w:rPr>
          <w:rFonts w:ascii="Times New Roman" w:hAnsi="Times New Roman"/>
          <w:caps w:val="false"/>
          <w:smallCaps w:val="false"/>
          <w:sz w:val="20"/>
        </w:rPr>
        <w:t xml:space="preserve">Amendment specifies that upon the occurrence of a Merger Transaction, the Chairman, President and CEO (assuming such person holds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such offices)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entitled to any payments in respect of any Market Capitalization Conditions, but will instead be entitled to receive a bonus payment based upon the Merger Transaction only. Cash bonuses to the Chairman, President and CEO (assuming such person holds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offices)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discretionary allocation under the CIB Plan.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person currently holds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offices of Chairman, President and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No actual cash payments were authorized or made to participants under the CIB Plan through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the date of filing of this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is, and 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involved in litigation or other legal proceedings and claims, including U.S. government inquiries, investigations and Citizen Petitions submitted to the U.S. Food and Drug Administration (“FDA”). In addition, the Company has received, and from time to time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receive, inquiries from government authorities relating to matters arising from the ordinary course of business. The outcome of these proceedings is inherently uncertain. Regardless of outcome, legal proceedings can have an adverse impact on the Company because of defense and settlement costs, diversion of management resources, and other factors. At this time,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assessment can be made as to their likely outcome or whether the outcome will be material to the Company other than as disclosed below. The Company believes that its total provisions for legal matters are adequate based upon currently 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Government Investigations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Beginning in </w:t>
      </w:r>
      <w:r>
        <w:rPr>
          <w:rStyle w:val="Emphasis"/>
          <w:rFonts w:ascii="Times New Roman" w:hAnsi="Times New Roman"/>
          <w:caps w:val="false"/>
          <w:smallCaps w:val="false"/>
          <w:sz w:val="20"/>
        </w:rPr>
        <w:t xml:space="preserve">August 2021, </w:t>
      </w:r>
      <w:r>
        <w:rPr>
          <w:rFonts w:ascii="Times New Roman" w:hAnsi="Times New Roman"/>
          <w:caps w:val="false"/>
          <w:smallCaps w:val="false"/>
          <w:sz w:val="20"/>
        </w:rPr>
        <w:t>the Company received subpoenas and other requests for documents and information from the Department of Justice Fraud Section (“DOJ”), document requests from the SEC, and a Civil Investigative Demand from the Civil Division of the Department of Justice. These requests sought corporate information and documents concerning the research and development of simufilam and/or SavaDx, and the Company cooperated fully with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26, 2024, </w:t>
      </w:r>
      <w:r>
        <w:rPr>
          <w:rFonts w:ascii="Times New Roman" w:hAnsi="Times New Roman"/>
          <w:caps w:val="false"/>
          <w:smallCaps w:val="false"/>
          <w:sz w:val="20"/>
        </w:rPr>
        <w:t xml:space="preserve">the Company announced that it had reached a settlement with the SEC resolving the SEC investigation of the Company’s disclosures regarding its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clinical trial of simufilam for the treatment of Alzheimer’s disease (the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Study”) and related matters. The SEC also agreed to a settlement with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former senior employees of the Company. Pursuant to these settlements, the U.S. District Court for the Western District of Texas (the “Texas District Court”) entered final consent judgment on </w:t>
      </w:r>
      <w:r>
        <w:rPr>
          <w:rStyle w:val="Emphasis"/>
          <w:rFonts w:ascii="Times New Roman" w:hAnsi="Times New Roman"/>
          <w:caps w:val="false"/>
          <w:smallCaps w:val="false"/>
          <w:sz w:val="20"/>
        </w:rPr>
        <w:t xml:space="preserve">October 18, 2024, </w:t>
      </w:r>
      <w:r>
        <w:rPr>
          <w:rFonts w:ascii="Times New Roman" w:hAnsi="Times New Roman"/>
          <w:caps w:val="false"/>
          <w:smallCaps w:val="false"/>
          <w:sz w:val="20"/>
        </w:rPr>
        <w:t xml:space="preserve">on a complaint filed by the SEC against the Company and its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former senior employees. The Company has neither admitted nor denied the allegations of the complaint. The SEC’s complaint alleged that certain disclosures by the Company regarding the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Study violated certain federal securities laws and SEC rules, including negligence-based disclosure violations of Sections </w:t>
      </w:r>
      <w:r>
        <w:rPr>
          <w:rStyle w:val="Emphasis"/>
          <w:rFonts w:ascii="Times New Roman" w:hAnsi="Times New Roman"/>
          <w:caps w:val="false"/>
          <w:smallCaps w:val="false"/>
          <w:sz w:val="20"/>
        </w:rPr>
        <w:t>17</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17</w:t>
      </w:r>
      <w:r>
        <w:rPr>
          <w:rFonts w:ascii="Times New Roman" w:hAnsi="Times New Roman"/>
          <w:caps w:val="false"/>
          <w:smallCaps w:val="false"/>
          <w:sz w:val="20"/>
        </w:rPr>
        <w:t>(a)(</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“Securities Act”), as well as recordkeeping and reporting requirements under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(the “Exchange Act”). The complaint alleges that the Company’s SEC reports and other public statements regarding the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Study negligently contained materially misleading statements and omissions. The SEC’s allegations with respect to the Company’s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former employees relate to these employees’ roles in such disclosures. Under its settlement, the Company consented to a permanent injunction against future violations of Section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(a) of the Securities Act, Section </w:t>
      </w:r>
      <w:r>
        <w:rPr>
          <w:rStyle w:val="Emphasis"/>
          <w:rFonts w:ascii="Times New Roman" w:hAnsi="Times New Roman"/>
          <w:caps w:val="false"/>
          <w:smallCaps w:val="false"/>
          <w:sz w:val="20"/>
        </w:rPr>
        <w:t>13</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Exchange Act and Rules </w:t>
      </w:r>
      <w:r>
        <w:rPr>
          <w:rStyle w:val="Emphasis"/>
          <w:rFonts w:ascii="Times New Roman" w:hAnsi="Times New Roman"/>
          <w:caps w:val="false"/>
          <w:smallCaps w:val="false"/>
          <w:sz w:val="20"/>
        </w:rPr>
        <w:t>12b</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13a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13a</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13a</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under the Exchange Act. In addition, the Company paid a civil monetary penalty of </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million in </w:t>
      </w:r>
      <w:r>
        <w:rPr>
          <w:rStyle w:val="Emphasis"/>
          <w:rFonts w:ascii="Times New Roman" w:hAnsi="Times New Roman"/>
          <w:caps w:val="false"/>
          <w:smallCaps w:val="false"/>
          <w:sz w:val="20"/>
        </w:rPr>
        <w:t>November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18, 2026, </w:t>
      </w:r>
      <w:r>
        <w:rPr>
          <w:rFonts w:ascii="Times New Roman" w:hAnsi="Times New Roman"/>
          <w:caps w:val="false"/>
          <w:smallCaps w:val="false"/>
          <w:sz w:val="20"/>
        </w:rPr>
        <w:t>the DOJ Fraud Section notified the Company that it had closed its inquiry into the Company regarding allegations of research misconduct as described in the indictment in </w:t>
      </w:r>
      <w:r>
        <w:rPr>
          <w:rFonts w:ascii="Times New Roman" w:hAnsi="Times New Roman"/>
          <w:i/>
          <w:caps w:val="false"/>
          <w:smallCaps w:val="false"/>
          <w:sz w:val="20"/>
        </w:rPr>
        <w:t>United States</w:t>
      </w:r>
      <w:r>
        <w:rPr>
          <w:rFonts w:ascii="Times New Roman" w:hAnsi="Times New Roman"/>
          <w:caps w:val="false"/>
          <w:smallCaps w:val="false"/>
          <w:sz w:val="20"/>
        </w:rPr>
        <w:t> </w:t>
      </w:r>
      <w:r>
        <w:rPr>
          <w:rFonts w:ascii="Times New Roman" w:hAnsi="Times New Roman"/>
          <w:i/>
          <w:caps w:val="false"/>
          <w:smallCaps w:val="false"/>
          <w:sz w:val="20"/>
        </w:rPr>
        <w:t>v. Wang</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8:24</w:t>
      </w:r>
      <w:r>
        <w:rPr>
          <w:rFonts w:ascii="Times New Roman" w:hAnsi="Times New Roman"/>
          <w:caps w:val="false"/>
          <w:smallCaps w:val="false"/>
          <w:sz w:val="20"/>
        </w:rPr>
        <w:t>-cr-</w:t>
      </w:r>
      <w:r>
        <w:rPr>
          <w:rStyle w:val="Emphasis"/>
          <w:rFonts w:ascii="Times New Roman" w:hAnsi="Times New Roman"/>
          <w:caps w:val="false"/>
          <w:smallCaps w:val="false"/>
          <w:sz w:val="20"/>
        </w:rPr>
        <w:t>000211</w:t>
      </w:r>
      <w:r>
        <w:rPr>
          <w:rFonts w:ascii="Times New Roman" w:hAnsi="Times New Roman"/>
          <w:caps w:val="false"/>
          <w:smallCaps w:val="false"/>
          <w:sz w:val="20"/>
        </w:rPr>
        <w:t>-TDC (D. Md.). As previously disclosed, that indictment was dismissed with prejudice by DOJ on </w:t>
      </w:r>
      <w:r>
        <w:rPr>
          <w:rStyle w:val="Emphasis"/>
          <w:rFonts w:ascii="Times New Roman" w:hAnsi="Times New Roman"/>
          <w:caps w:val="false"/>
          <w:smallCaps w:val="false"/>
          <w:sz w:val="20"/>
        </w:rPr>
        <w:t xml:space="preserve"> October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outcomes end the investigations of the Company by the DOJ and SEC.</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00" w:right="0" w:hanging="0"/>
        <w:jc w:val="both"/>
        <w:rPr>
          <w:rFonts w:ascii="Times New Roman" w:hAnsi="Times New Roman"/>
          <w:i/>
          <w:caps w:val="false"/>
          <w:smallCaps w:val="false"/>
          <w:sz w:val="20"/>
        </w:rPr>
      </w:pPr>
      <w:r>
        <w:rPr>
          <w:rFonts w:ascii="Times New Roman" w:hAnsi="Times New Roman"/>
          <w:i/>
          <w:caps w:val="false"/>
          <w:smallCaps w:val="false"/>
          <w:sz w:val="20"/>
        </w:rPr>
        <w:t>Securities Class Actions and Shareholder Derivative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Between </w:t>
      </w:r>
      <w:r>
        <w:rPr>
          <w:rStyle w:val="Emphasis"/>
          <w:rFonts w:ascii="Times New Roman" w:hAnsi="Times New Roman"/>
          <w:caps w:val="false"/>
          <w:smallCaps w:val="false"/>
          <w:sz w:val="20"/>
        </w:rPr>
        <w:t xml:space="preserve">August 27,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October 26, 2021, four</w:t>
      </w:r>
      <w:r>
        <w:rPr>
          <w:rFonts w:ascii="Times New Roman" w:hAnsi="Times New Roman"/>
          <w:caps w:val="false"/>
          <w:smallCaps w:val="false"/>
          <w:sz w:val="20"/>
        </w:rPr>
        <w:t xml:space="preserve"> putative class action lawsuits were filed alleging violations of the federal securities laws by the Company and certain named officers. The complaints rely on allegations contained in Citizen Petitions submitted to FDA and allege that various statements made by the defendants regarding simufilam were rendered materially false and misleading. The Citizen Petitions were all subsequently denied by FDA. These actions were filed in the Texas District Court. The complaints seek unspecified compensatory damages and other relief on behalf of a purported class of purchasers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a federal judge consolidated the four class action lawsuits into one case (the “Consolidated Securities Action”) and appointed a lead plaintiff and a lead counsel. Lead plaintiff filed a consolidated amended complaint on </w:t>
      </w:r>
      <w:r>
        <w:rPr>
          <w:rStyle w:val="Emphasis"/>
          <w:rFonts w:ascii="Times New Roman" w:hAnsi="Times New Roman"/>
          <w:caps w:val="false"/>
          <w:smallCaps w:val="false"/>
          <w:sz w:val="20"/>
        </w:rPr>
        <w:t xml:space="preserve">August 18, 2022 </w:t>
      </w:r>
      <w:r>
        <w:rPr>
          <w:rFonts w:ascii="Times New Roman" w:hAnsi="Times New Roman"/>
          <w:caps w:val="false"/>
          <w:smallCaps w:val="false"/>
          <w:sz w:val="20"/>
        </w:rPr>
        <w:t xml:space="preserve">on behalf of a putative class of purchasers of the Company’s securities between </w:t>
      </w:r>
      <w:r>
        <w:rPr>
          <w:rStyle w:val="Emphasis"/>
          <w:rFonts w:ascii="Times New Roman" w:hAnsi="Times New Roman"/>
          <w:caps w:val="false"/>
          <w:smallCaps w:val="false"/>
          <w:sz w:val="20"/>
        </w:rPr>
        <w:t xml:space="preserve">September 14, 2020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26, 2022.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11, 2023, </w:t>
      </w:r>
      <w:r>
        <w:rPr>
          <w:rFonts w:ascii="Times New Roman" w:hAnsi="Times New Roman"/>
          <w:caps w:val="false"/>
          <w:smallCaps w:val="false"/>
          <w:sz w:val="20"/>
        </w:rPr>
        <w:t xml:space="preserve">the Texas District Court dismissed with prejudice plaintiffs’ claims against defendant Nadav Friedmann, PhD, MD, our former Chief Medical Officer and a Company director, who is now deceased, but otherwise denied defendants’ motion to dismiss. Defendants filed an answer to the consolidated amended complaint on </w:t>
      </w:r>
      <w:r>
        <w:rPr>
          <w:rStyle w:val="Emphasis"/>
          <w:rFonts w:ascii="Times New Roman" w:hAnsi="Times New Roman"/>
          <w:caps w:val="false"/>
          <w:smallCaps w:val="false"/>
          <w:sz w:val="20"/>
        </w:rPr>
        <w:t xml:space="preserve">July 3, 2023.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22, 2024, </w:t>
      </w:r>
      <w:r>
        <w:rPr>
          <w:rFonts w:ascii="Times New Roman" w:hAnsi="Times New Roman"/>
          <w:caps w:val="false"/>
          <w:smallCaps w:val="false"/>
          <w:sz w:val="20"/>
        </w:rPr>
        <w:t xml:space="preserve">plaintiffs filed a motion to supplement their complaint to extend the putative class period through </w:t>
      </w:r>
      <w:r>
        <w:rPr>
          <w:rStyle w:val="Emphasis"/>
          <w:rFonts w:ascii="Times New Roman" w:hAnsi="Times New Roman"/>
          <w:caps w:val="false"/>
          <w:smallCaps w:val="false"/>
          <w:sz w:val="20"/>
        </w:rPr>
        <w:t>October 12, 2023. </w:t>
      </w:r>
      <w:r>
        <w:rPr>
          <w:rFonts w:ascii="Times New Roman" w:hAnsi="Times New Roman"/>
          <w:caps w:val="false"/>
          <w:smallCaps w:val="false"/>
          <w:sz w:val="20"/>
        </w:rPr>
        <w:t xml:space="preserve">The Texas District Court granted that Motion on </w:t>
      </w:r>
      <w:r>
        <w:rPr>
          <w:rStyle w:val="Emphasis"/>
          <w:rFonts w:ascii="Times New Roman" w:hAnsi="Times New Roman"/>
          <w:caps w:val="false"/>
          <w:smallCaps w:val="false"/>
          <w:sz w:val="20"/>
        </w:rPr>
        <w:t xml:space="preserve">June 12, 2024, </w:t>
      </w:r>
      <w:r>
        <w:rPr>
          <w:rFonts w:ascii="Times New Roman" w:hAnsi="Times New Roman"/>
          <w:caps w:val="false"/>
          <w:smallCaps w:val="false"/>
          <w:sz w:val="20"/>
        </w:rPr>
        <w:t xml:space="preserve">and plaintiffs filed a supplemental complaint on </w:t>
      </w:r>
      <w:r>
        <w:rPr>
          <w:rStyle w:val="Emphasis"/>
          <w:rFonts w:ascii="Times New Roman" w:hAnsi="Times New Roman"/>
          <w:caps w:val="false"/>
          <w:smallCaps w:val="false"/>
          <w:sz w:val="20"/>
        </w:rPr>
        <w:t>June 13,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 2024, </w:t>
      </w:r>
      <w:r>
        <w:rPr>
          <w:rFonts w:ascii="Times New Roman" w:hAnsi="Times New Roman"/>
          <w:caps w:val="false"/>
          <w:smallCaps w:val="false"/>
          <w:sz w:val="20"/>
        </w:rPr>
        <w:t xml:space="preserve">a putative class action lawsuit was filed alleging violations of the federal securities law by the Company and certain named officers. The complaint relies on an </w:t>
      </w:r>
      <w:r>
        <w:rPr>
          <w:rStyle w:val="Emphasis"/>
          <w:rFonts w:ascii="Times New Roman" w:hAnsi="Times New Roman"/>
          <w:caps w:val="false"/>
          <w:smallCaps w:val="false"/>
          <w:sz w:val="20"/>
        </w:rPr>
        <w:t xml:space="preserve">October 12, 2023 </w:t>
      </w:r>
      <w:r>
        <w:rPr>
          <w:rFonts w:ascii="Times New Roman" w:hAnsi="Times New Roman"/>
          <w:caps w:val="false"/>
          <w:smallCaps w:val="false"/>
          <w:sz w:val="20"/>
        </w:rPr>
        <w:t xml:space="preserve">article that describes a purported leaked report of alleged scientific misconduct by a scientific collaborator of the Company at City University of New York (the “CUNY Article”). The complaint alleges that various statements made by the defendants regarding simufilam were rendered materially false and misleading by this article. The action was filed in the U.S. District Court for the Northern District of Illinois (the “Illinois District Court”). The complaint seeks unspecified compensatory damages and other relief on behalf of a purported class of purchasers of the Company’s securities between </w:t>
      </w:r>
      <w:r>
        <w:rPr>
          <w:rStyle w:val="Emphasis"/>
          <w:rFonts w:ascii="Times New Roman" w:hAnsi="Times New Roman"/>
          <w:caps w:val="false"/>
          <w:smallCaps w:val="false"/>
          <w:sz w:val="20"/>
        </w:rPr>
        <w:t xml:space="preserve">August 18,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October 12, 2023.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28, 2024, </w:t>
      </w:r>
      <w:r>
        <w:rPr>
          <w:rFonts w:ascii="Times New Roman" w:hAnsi="Times New Roman"/>
          <w:caps w:val="false"/>
          <w:smallCaps w:val="false"/>
          <w:sz w:val="20"/>
        </w:rPr>
        <w:t>the Illinois District Court transferred this action to the Texas District Court, where it was consolidated into the Consolidated Securities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13, 2024, </w:t>
      </w:r>
      <w:r>
        <w:rPr>
          <w:rFonts w:ascii="Times New Roman" w:hAnsi="Times New Roman"/>
          <w:caps w:val="false"/>
          <w:smallCaps w:val="false"/>
          <w:sz w:val="20"/>
        </w:rPr>
        <w:t xml:space="preserve">Plaintiffs in the Consolidated Securities Action filed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motion to supplement their complaint. On </w:t>
      </w:r>
      <w:r>
        <w:rPr>
          <w:rStyle w:val="Emphasis"/>
          <w:rFonts w:ascii="Times New Roman" w:hAnsi="Times New Roman"/>
          <w:caps w:val="false"/>
          <w:smallCaps w:val="false"/>
          <w:sz w:val="20"/>
        </w:rPr>
        <w:t xml:space="preserve">March 13, 2024, </w:t>
      </w:r>
      <w:r>
        <w:rPr>
          <w:rFonts w:ascii="Times New Roman" w:hAnsi="Times New Roman"/>
          <w:caps w:val="false"/>
          <w:smallCaps w:val="false"/>
          <w:sz w:val="20"/>
        </w:rPr>
        <w:t xml:space="preserve">plaintiffs filed a Motion for Class Certification. On </w:t>
      </w:r>
      <w:r>
        <w:rPr>
          <w:rStyle w:val="Emphasis"/>
          <w:rFonts w:ascii="Times New Roman" w:hAnsi="Times New Roman"/>
          <w:caps w:val="false"/>
          <w:smallCaps w:val="false"/>
          <w:sz w:val="20"/>
        </w:rPr>
        <w:t xml:space="preserve">February 25, 2025, </w:t>
      </w:r>
      <w:r>
        <w:rPr>
          <w:rFonts w:ascii="Times New Roman" w:hAnsi="Times New Roman"/>
          <w:caps w:val="false"/>
          <w:smallCaps w:val="false"/>
          <w:sz w:val="20"/>
        </w:rPr>
        <w:t xml:space="preserve">the Texas District Court denied Plaintiff’s motion for class certification without prejudice, explaining that rulings on pending motions, including specifically Plaintiffs’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motion to supplement their complaint, could affect disposition of class certification. On </w:t>
      </w:r>
      <w:r>
        <w:rPr>
          <w:rStyle w:val="Emphasis"/>
          <w:rFonts w:ascii="Times New Roman" w:hAnsi="Times New Roman"/>
          <w:caps w:val="false"/>
          <w:smallCaps w:val="false"/>
          <w:sz w:val="20"/>
        </w:rPr>
        <w:t xml:space="preserve">May 21, 2025, </w:t>
      </w:r>
      <w:r>
        <w:rPr>
          <w:rFonts w:ascii="Times New Roman" w:hAnsi="Times New Roman"/>
          <w:caps w:val="false"/>
          <w:smallCaps w:val="false"/>
          <w:sz w:val="20"/>
        </w:rPr>
        <w:t xml:space="preserve">the Texas District Court granted Plaintiffs’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motion for leave to file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supplemented complaint and instructed Plaintiffs to refile their motion for class certification. Plaintiffs filed their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supplemental complaint on </w:t>
      </w:r>
      <w:r>
        <w:rPr>
          <w:rStyle w:val="Emphasis"/>
          <w:rFonts w:ascii="Times New Roman" w:hAnsi="Times New Roman"/>
          <w:caps w:val="false"/>
          <w:smallCaps w:val="false"/>
          <w:sz w:val="20"/>
        </w:rPr>
        <w:t xml:space="preserve">May 22, 2025, </w:t>
      </w:r>
      <w:r>
        <w:rPr>
          <w:rFonts w:ascii="Times New Roman" w:hAnsi="Times New Roman"/>
          <w:caps w:val="false"/>
          <w:smallCaps w:val="false"/>
          <w:sz w:val="20"/>
        </w:rPr>
        <w:t xml:space="preserve">and reasserted their motion for class certification on </w:t>
      </w:r>
      <w:r>
        <w:rPr>
          <w:rStyle w:val="Emphasis"/>
          <w:rFonts w:ascii="Times New Roman" w:hAnsi="Times New Roman"/>
          <w:caps w:val="false"/>
          <w:smallCaps w:val="false"/>
          <w:sz w:val="20"/>
        </w:rPr>
        <w:t>June 20,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Texas District Court granted Plaintiffs’ motion for class certification on </w:t>
      </w:r>
      <w:r>
        <w:rPr>
          <w:rStyle w:val="Emphasis"/>
          <w:rFonts w:ascii="Times New Roman" w:hAnsi="Times New Roman"/>
          <w:caps w:val="false"/>
          <w:smallCaps w:val="false"/>
          <w:sz w:val="20"/>
        </w:rPr>
        <w:t xml:space="preserve">August 12,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21, 2025, </w:t>
      </w:r>
      <w:r>
        <w:rPr>
          <w:rFonts w:ascii="Times New Roman" w:hAnsi="Times New Roman"/>
          <w:caps w:val="false"/>
          <w:smallCaps w:val="false"/>
          <w:sz w:val="20"/>
        </w:rPr>
        <w:t xml:space="preserve">the United States Court of Appeals for the Fifth Circuit agreed to hear Defendants’ interlocutory appeal challenging the District Court order granting class certification. Defendants filed their opening brief on </w:t>
      </w:r>
      <w:r>
        <w:rPr>
          <w:rStyle w:val="Emphasis"/>
          <w:rFonts w:ascii="Times New Roman" w:hAnsi="Times New Roman"/>
          <w:caps w:val="false"/>
          <w:smallCaps w:val="false"/>
          <w:sz w:val="20"/>
        </w:rPr>
        <w:t>January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parties to the Consolidated Securities Action engaged in mediation with David M. Murphy of Phillips Alternative Dispute Resolutions Enterprises (the “Mediator”) beginning in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19, 2025, </w:t>
      </w:r>
      <w:r>
        <w:rPr>
          <w:rFonts w:ascii="Times New Roman" w:hAnsi="Times New Roman"/>
          <w:caps w:val="false"/>
          <w:smallCaps w:val="false"/>
          <w:sz w:val="20"/>
        </w:rPr>
        <w:t>plaintiffs in the Consolidated Securities Action filed a Final Alternative Dispute Resolution (“ADR”) Report with the Texas District Court as required by Local Rule CV-</w:t>
      </w:r>
      <w:r>
        <w:rPr>
          <w:rStyle w:val="Emphasis"/>
          <w:rFonts w:ascii="Times New Roman" w:hAnsi="Times New Roman"/>
          <w:caps w:val="false"/>
          <w:smallCaps w:val="false"/>
          <w:sz w:val="20"/>
        </w:rPr>
        <w:t>88</w:t>
      </w:r>
      <w:r>
        <w:rPr>
          <w:rFonts w:ascii="Times New Roman" w:hAnsi="Times New Roman"/>
          <w:caps w:val="false"/>
          <w:smallCaps w:val="false"/>
          <w:sz w:val="20"/>
        </w:rPr>
        <w:t xml:space="preserve">(g). As stated in the Final ADR Report, the Company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its officers (the “Settling Defendants”) and plaintiffs have accepted a double-blind Mediator’s Recommendation, reflected in a binding term sheet (the “Term Sheet”) pursuant to which the Settling Defendants will pay plaintiffs $31.25 million to achieve a complete settlement of all claims and causes of action that have been or could be asserted by Plaintiffs in exchange for full and complete releases. The Final ADR Report further states that, although defendants Remi Barbier and Lindsay Burns (the “Non-Settling Defendants”),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execute the Term Sheet, those individuals are indemnified by the Company and under the Term Sheet are entitled to receive full and complete releases along with Settling Defendants upon final approval of a settlement by the Texas District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Term Sheet provides that the Company will pay a settlement amount equal to $31.25 million, which is expected to be placed into escrow after the Settling Defendants and plaintiffs enter a formal stipulation of settlement. In exchange, the plaintiffs and the class will grant full and complete releases in favor of the Settling Defendants and the Non-Settling Defendants of all of their claims that were or could have been asserted in the Consolidated Securities Action and will dismiss with prejudice the claims asserted against the Non-Settling Defendants. The settlement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admission of fault or wrongdoing by the Company or any of the other defendants.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recorded a loss contingency of $31.25 million in accounts payable and other accrued expenses in the Consolidated Balance Sheets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relating to the Consolidated Securities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Settling Defendants and plaintiffs intend to prepare a formal stipulation of settlement and motion for preliminary approval of the settlement describing the terms of the proposed settlement, which will be presented to the Texas District Court for preliminary approval. Following preliminary approval of the proposed settlement by the Texas District Court and a notice and review period for class members, plaintiffs will seek final approval of the proposed settlement from the Texas District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4, 2021, </w:t>
      </w:r>
      <w:r>
        <w:rPr>
          <w:rFonts w:ascii="Times New Roman" w:hAnsi="Times New Roman"/>
          <w:caps w:val="false"/>
          <w:smallCaps w:val="false"/>
          <w:sz w:val="20"/>
        </w:rPr>
        <w:t xml:space="preserve">a shareholder derivative action related to the initial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class action lawsuits filed in the Texas District Court was filed, purportedly on behalf of the Company, in the Texas District Court, asserting claims under the U.S. securities laws and state fiduciary duty laws against certain named officers and the members of the Company’s Board. This complaint relies on the allegations made in Citizen Petitions that were submitted to (and subsequently denied by) FDA. The complaint alleges, among other things, that the individual defendants exposed the Company to unspecified damages and securities law liability by causing it to make materially false and misleading statements, in violation of the U.S. securities laws and in breach of their fiduciary duties to the Company. The derivative case seeks, among other things, to recover unspecified compensatory damages on behalf of the Company arising out of the individual defendants’ alleged wrongful conduct. Although the plaintiff in this derivative case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seek relief against the Company, the Company has certain indemnification obligations to the individual defendants. Between </w:t>
      </w:r>
      <w:r>
        <w:rPr>
          <w:rStyle w:val="Emphasis"/>
          <w:rFonts w:ascii="Times New Roman" w:hAnsi="Times New Roman"/>
          <w:caps w:val="false"/>
          <w:smallCaps w:val="false"/>
          <w:sz w:val="20"/>
        </w:rPr>
        <w:t xml:space="preserve">November 4,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November 9, 2023,</w:t>
      </w:r>
      <w:r>
        <w:rPr>
          <w:rFonts w:ascii="Times New Roman" w:hAnsi="Times New Roman"/>
          <w:caps w:val="false"/>
          <w:smallCaps w:val="false"/>
          <w:sz w:val="20"/>
        </w:rPr>
        <w:t xml:space="preserve"> five additional shareholder derivative actions were filed alleging substantially similar claims, three in the Texas District Court, one in Texas state court (Travis County District Court) and one in the Delaware Court of Chancery. As of </w:t>
      </w:r>
      <w:r>
        <w:rPr>
          <w:rStyle w:val="Emphasis"/>
          <w:rFonts w:ascii="Times New Roman" w:hAnsi="Times New Roman"/>
          <w:caps w:val="false"/>
          <w:smallCaps w:val="false"/>
          <w:sz w:val="20"/>
        </w:rPr>
        <w:t xml:space="preserve">November 12, 2025, </w:t>
      </w:r>
      <w:r>
        <w:rPr>
          <w:rFonts w:ascii="Times New Roman" w:hAnsi="Times New Roman"/>
          <w:caps w:val="false"/>
          <w:smallCaps w:val="false"/>
          <w:sz w:val="20"/>
        </w:rPr>
        <w:t>the four actions in the Texas District Court are all consolidated into a single action.</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Beginning on </w:t>
      </w:r>
      <w:r>
        <w:rPr>
          <w:rStyle w:val="Emphasis"/>
          <w:rFonts w:ascii="Times New Roman" w:hAnsi="Times New Roman"/>
          <w:caps w:val="false"/>
          <w:smallCaps w:val="false"/>
          <w:sz w:val="20"/>
        </w:rPr>
        <w:t xml:space="preserve">March 18, 2024, </w:t>
      </w:r>
      <w:r>
        <w:rPr>
          <w:rFonts w:ascii="Times New Roman" w:hAnsi="Times New Roman"/>
          <w:caps w:val="false"/>
          <w:smallCaps w:val="false"/>
          <w:sz w:val="20"/>
        </w:rPr>
        <w:t xml:space="preserve">two shareholder derivative actions related to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class action lawsuit originally filed in the Illinois District Court were filed, purportedly on behalf of the Company, in the Illinois District Court, asserting claims under the U.S. securities laws and state fiduciary duty laws against certain named officers and the members of the Company’s Board. The complaints rely on the CUNY Article. The complaints allege, among other things, that the individual defendants exposed the Company to unspecified damages and securities law liability by causing it to make materially false and misleading statements, in violation of the U.S. securities laws and in breach of their fiduciary duties to the Company. The derivative cases seek, among other things, to recover unspecified compensatory damages on behalf of the Company arising out of the individual defendant’s alleged wrongful conduct. Although the plaintiffs in these derivative cases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seek relief against the Company, the Company has certain indemnification obligations to the individual defendants. On </w:t>
      </w:r>
      <w:r>
        <w:rPr>
          <w:rStyle w:val="Emphasis"/>
          <w:rFonts w:ascii="Times New Roman" w:hAnsi="Times New Roman"/>
          <w:caps w:val="false"/>
          <w:smallCaps w:val="false"/>
          <w:sz w:val="20"/>
        </w:rPr>
        <w:t xml:space="preserve">September 6, 2024, </w:t>
      </w:r>
      <w:r>
        <w:rPr>
          <w:rFonts w:ascii="Times New Roman" w:hAnsi="Times New Roman"/>
          <w:caps w:val="false"/>
          <w:smallCaps w:val="false"/>
          <w:sz w:val="20"/>
        </w:rPr>
        <w:t xml:space="preserve">these two cases were consolidated and stayed pending further developments in the shareholder class action initially filed in the Illinois District Court on </w:t>
      </w:r>
      <w:r>
        <w:rPr>
          <w:rStyle w:val="Emphasis"/>
          <w:rFonts w:ascii="Times New Roman" w:hAnsi="Times New Roman"/>
          <w:caps w:val="false"/>
          <w:smallCaps w:val="false"/>
          <w:sz w:val="20"/>
        </w:rPr>
        <w:t xml:space="preserve">February 2, 2024. </w:t>
      </w:r>
      <w:r>
        <w:rPr>
          <w:rFonts w:ascii="Times New Roman" w:hAnsi="Times New Roman"/>
          <w:caps w:val="false"/>
          <w:smallCaps w:val="false"/>
          <w:sz w:val="20"/>
        </w:rPr>
        <w:t>Due to the stage of the foregoing shareholder derivative actions, the Company is unable to predict the outcome or estimate the amount of loss or range of losses that could potentially result from such derivative lawsuits.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13, 2024, </w:t>
      </w:r>
      <w:r>
        <w:rPr>
          <w:rFonts w:ascii="Times New Roman" w:hAnsi="Times New Roman"/>
          <w:caps w:val="false"/>
          <w:smallCaps w:val="false"/>
          <w:sz w:val="20"/>
        </w:rPr>
        <w:t xml:space="preserve">a putative class action lawsuit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was filed, purportedly on behalf of the Company, alleging violations of the federal securities law by the Company and certain named officers. The complaint alleged that various statements made by the defendants regarding simufilam were revealed to be materially false and misleading by the release of top-line results for the Company’s RETHINK-ALZ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clinical trial on </w:t>
      </w:r>
      <w:r>
        <w:rPr>
          <w:rStyle w:val="Emphasis"/>
          <w:rFonts w:ascii="Times New Roman" w:hAnsi="Times New Roman"/>
          <w:caps w:val="false"/>
          <w:smallCaps w:val="false"/>
          <w:sz w:val="20"/>
        </w:rPr>
        <w:t xml:space="preserve">November 25,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was filed in the Texas District Court. The complaint sought unspecified compensatory damages and other relief on behalf of a purported class of purchasers of the Company’s securities between </w:t>
      </w:r>
      <w:r>
        <w:rPr>
          <w:rStyle w:val="Emphasis"/>
          <w:rFonts w:ascii="Times New Roman" w:hAnsi="Times New Roman"/>
          <w:caps w:val="false"/>
          <w:smallCaps w:val="false"/>
          <w:sz w:val="20"/>
        </w:rPr>
        <w:t xml:space="preserve">February 7,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November 24,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8, 2025, </w:t>
      </w:r>
      <w:r>
        <w:rPr>
          <w:rFonts w:ascii="Times New Roman" w:hAnsi="Times New Roman"/>
          <w:caps w:val="false"/>
          <w:smallCaps w:val="false"/>
          <w:sz w:val="20"/>
        </w:rPr>
        <w:t xml:space="preserve">the Court appointed a lead plaintiff and lead counsel for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Lead plaintiff filed an amended complaint on </w:t>
      </w:r>
      <w:r>
        <w:rPr>
          <w:rStyle w:val="Emphasis"/>
          <w:rFonts w:ascii="Times New Roman" w:hAnsi="Times New Roman"/>
          <w:caps w:val="false"/>
          <w:smallCaps w:val="false"/>
          <w:sz w:val="20"/>
        </w:rPr>
        <w:t xml:space="preserve">August 25, 2025, </w:t>
      </w:r>
      <w:r>
        <w:rPr>
          <w:rFonts w:ascii="Times New Roman" w:hAnsi="Times New Roman"/>
          <w:caps w:val="false"/>
          <w:smallCaps w:val="false"/>
          <w:sz w:val="20"/>
        </w:rPr>
        <w:t xml:space="preserve">on behalf of a putative class of purchasers of the Company’s securities between </w:t>
      </w:r>
      <w:r>
        <w:rPr>
          <w:rStyle w:val="Emphasis"/>
          <w:rFonts w:ascii="Times New Roman" w:hAnsi="Times New Roman"/>
          <w:caps w:val="false"/>
          <w:smallCaps w:val="false"/>
          <w:sz w:val="20"/>
        </w:rPr>
        <w:t xml:space="preserve">October 13,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March 25, 2025. </w:t>
      </w:r>
      <w:r>
        <w:rPr>
          <w:rFonts w:ascii="Times New Roman" w:hAnsi="Times New Roman"/>
          <w:caps w:val="false"/>
          <w:smallCaps w:val="false"/>
          <w:sz w:val="20"/>
        </w:rPr>
        <w:t xml:space="preserve">The amended complaint added new officer defendants and additional allegations that various statements made by the defendants regarding simufilam were revealed to be materially false and misleading by disclosures in </w:t>
      </w:r>
      <w:r>
        <w:rPr>
          <w:rStyle w:val="Emphasis"/>
          <w:rFonts w:ascii="Times New Roman" w:hAnsi="Times New Roman"/>
          <w:caps w:val="false"/>
          <w:smallCaps w:val="false"/>
          <w:sz w:val="20"/>
        </w:rPr>
        <w:t xml:space="preserve">June 2024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September 2024.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19, 2025, </w:t>
      </w:r>
      <w:r>
        <w:rPr>
          <w:rFonts w:ascii="Times New Roman" w:hAnsi="Times New Roman"/>
          <w:caps w:val="false"/>
          <w:smallCaps w:val="false"/>
          <w:sz w:val="20"/>
        </w:rPr>
        <w:t xml:space="preserve">defendants filed a motion to consolidate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into the Consolidated Securities Action. Lead plaintiff opposed that motion, and it remains pending.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6, 2025, </w:t>
      </w:r>
      <w:r>
        <w:rPr>
          <w:rFonts w:ascii="Times New Roman" w:hAnsi="Times New Roman"/>
          <w:caps w:val="false"/>
          <w:smallCaps w:val="false"/>
          <w:sz w:val="20"/>
        </w:rPr>
        <w:t xml:space="preserve">Defendants moved to dismiss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Lead plaintiff opposed that motion, and it remains 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Due to the stage and procedural posture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the Company is unable to predict the likelihood of an unfavorable outcome in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It is reasonably possible, however, that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incur a loss. The Company is unable to reasonably estimate the amount or range of potential loss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19, 2022, </w:t>
      </w:r>
      <w:r>
        <w:rPr>
          <w:rFonts w:ascii="Times New Roman" w:hAnsi="Times New Roman"/>
          <w:caps w:val="false"/>
          <w:smallCaps w:val="false"/>
          <w:sz w:val="20"/>
        </w:rPr>
        <w:t xml:space="preserve">a shareholder derivative action was filed, purportedly on behalf of the Company, in the Delaware Court of Chancery, asserting claims under state fiduciary duty laws against certain named officers and members of the Company’s Board (the “CIB Derivative Action”). The complaint alleged, among other things, that the individual defendants breached their fiduciary duties by approving the CIB Plan 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 xml:space="preserve">The complaints sought unspecified compensatory damages and other relief.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plaintiffs filed an amended complaint. Defendants filed a partial answer to the amended complaint on </w:t>
      </w:r>
      <w:r>
        <w:rPr>
          <w:rStyle w:val="Emphasis"/>
          <w:rFonts w:ascii="Times New Roman" w:hAnsi="Times New Roman"/>
          <w:caps w:val="false"/>
          <w:smallCaps w:val="false"/>
          <w:sz w:val="20"/>
        </w:rPr>
        <w:t xml:space="preserve">March 10, 2023, </w:t>
      </w:r>
      <w:r>
        <w:rPr>
          <w:rFonts w:ascii="Times New Roman" w:hAnsi="Times New Roman"/>
          <w:caps w:val="false"/>
          <w:smallCaps w:val="false"/>
          <w:sz w:val="20"/>
        </w:rPr>
        <w:t xml:space="preserve">and moved to partially dismiss the amended complaint on </w:t>
      </w:r>
      <w:r>
        <w:rPr>
          <w:rStyle w:val="Emphasis"/>
          <w:rFonts w:ascii="Times New Roman" w:hAnsi="Times New Roman"/>
          <w:caps w:val="false"/>
          <w:smallCaps w:val="false"/>
          <w:sz w:val="20"/>
        </w:rPr>
        <w:t>March 14,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28, 2024, </w:t>
      </w:r>
      <w:r>
        <w:rPr>
          <w:rFonts w:ascii="Times New Roman" w:hAnsi="Times New Roman"/>
          <w:caps w:val="false"/>
          <w:smallCaps w:val="false"/>
          <w:sz w:val="20"/>
        </w:rPr>
        <w:t xml:space="preserve">the parties in the CIB Derivative Action entered into a Stipulation and Agreement of Settlement, Compromise, and Release (the “Stipulation”) to resolve the CIB Derivative Action. The Stipulation and exhibits thereto, including the proposed Notice of Pendency of Settlement of Class and Derivative Action (the “Notice”) and [Proposed] Scheduling Order with Respect to Notice and Settlement Hearing (the “Scheduling Order”), were filed in the Delaware Court of Chancery on </w:t>
      </w:r>
      <w:r>
        <w:rPr>
          <w:rStyle w:val="Emphasis"/>
          <w:rFonts w:ascii="Times New Roman" w:hAnsi="Times New Roman"/>
          <w:caps w:val="false"/>
          <w:smallCaps w:val="false"/>
          <w:sz w:val="20"/>
        </w:rPr>
        <w:t>May 28,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26, 2024, </w:t>
      </w:r>
      <w:r>
        <w:rPr>
          <w:rFonts w:ascii="Times New Roman" w:hAnsi="Times New Roman"/>
          <w:caps w:val="false"/>
          <w:smallCaps w:val="false"/>
          <w:sz w:val="20"/>
        </w:rPr>
        <w:t xml:space="preserve">the Delaware Court of Chancery entered the Scheduling Order, which included approval of the Notice.  The Delaware Court of Chancery held a settlement hearing on </w:t>
      </w:r>
      <w:r>
        <w:rPr>
          <w:rStyle w:val="Emphasis"/>
          <w:rFonts w:ascii="Times New Roman" w:hAnsi="Times New Roman"/>
          <w:caps w:val="false"/>
          <w:smallCaps w:val="false"/>
          <w:sz w:val="20"/>
        </w:rPr>
        <w:t xml:space="preserve">September 9, 2024.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24, 2025, </w:t>
      </w:r>
      <w:r>
        <w:rPr>
          <w:rFonts w:ascii="Times New Roman" w:hAnsi="Times New Roman"/>
          <w:caps w:val="false"/>
          <w:smallCaps w:val="false"/>
          <w:sz w:val="20"/>
        </w:rPr>
        <w:t xml:space="preserve">the Delaware Court of Chancery entered a Final Order and Judgment approving the Stipulation and dismissing the CIB Derivative Action with prejudice. Pursuant to the Final Order, the Company paid $1.0 million in attorneys’ fees and expenses in </w:t>
      </w:r>
      <w:r>
        <w:rPr>
          <w:rStyle w:val="Emphasis"/>
          <w:rFonts w:ascii="Times New Roman" w:hAnsi="Times New Roman"/>
          <w:caps w:val="false"/>
          <w:smallCaps w:val="false"/>
          <w:sz w:val="20"/>
        </w:rPr>
        <w:t xml:space="preserve">February 2025, </w:t>
      </w:r>
      <w:r>
        <w:rPr>
          <w:rFonts w:ascii="Times New Roman" w:hAnsi="Times New Roman"/>
          <w:caps w:val="false"/>
          <w:smallCaps w:val="false"/>
          <w:sz w:val="20"/>
        </w:rPr>
        <w:t xml:space="preserve">which was recorded in accounts payable and other accrued expenses at </w:t>
      </w:r>
      <w:r>
        <w:rPr>
          <w:rStyle w:val="Emphasis"/>
          <w:rFonts w:ascii="Times New Roman" w:hAnsi="Times New Roman"/>
          <w:caps w:val="false"/>
          <w:smallCaps w:val="false"/>
          <w:sz w:val="20"/>
        </w:rPr>
        <w:t>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Subject to the Term Sheet in the Consolidated Securities Action, the Company intends to defend all pending shareholder derivative actions and securities class actions vigorously.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Anti-SLAPP Lawsuit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6, 2024, </w:t>
      </w:r>
      <w:r>
        <w:rPr>
          <w:rFonts w:ascii="Times New Roman" w:hAnsi="Times New Roman"/>
          <w:caps w:val="false"/>
          <w:smallCaps w:val="false"/>
          <w:sz w:val="20"/>
        </w:rPr>
        <w:t xml:space="preserve">a lawsuit was filed in the District Court for the Southern District of New York which, as amended and as joined by intervenor plaintiffs, asserts claims, including a claim under the New York Anti-SLAPP Law, against the Company and against two former officers to whom the Company has certain indemnification obligations. The amended complaint and the complaint in intervention seeks costs and damages relating to a defamation action filed by the Company against the plaintiffs and subsequently dismissed voluntarily and without prejudice by the Company. The Company and its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former officers named as defendants have entered comprehensive settlement agreements with the intervenor plaintiffs and another potential plaintiff under which the parties provided mutual releases and the Company paid approximately $2.5 million in </w:t>
      </w:r>
      <w:r>
        <w:rPr>
          <w:rStyle w:val="Emphasis"/>
          <w:rFonts w:ascii="Times New Roman" w:hAnsi="Times New Roman"/>
          <w:caps w:val="false"/>
          <w:smallCaps w:val="false"/>
          <w:sz w:val="20"/>
        </w:rPr>
        <w:t xml:space="preserve">October 2025. </w:t>
      </w:r>
      <w:r>
        <w:rPr>
          <w:rFonts w:ascii="Times New Roman" w:hAnsi="Times New Roman"/>
          <w:caps w:val="false"/>
          <w:smallCaps w:val="false"/>
          <w:sz w:val="20"/>
        </w:rPr>
        <w:t>The Company intends to defend vigorously the claims brought by the remaining plaintiffs.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Litigation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connection with ongoing litigation, the Company has reserved an amount of $32.75 million, including the $31.25 million loss contingency for the Consolidated Securities Action, for potential settlements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which was recorded in accounts payable and other accrued expenses. The Company recorded loss continencies totaling $35.25 million 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believes that the likelihood of an unfavorable outcome is reasonably possible and has accrued this amount as the best estimate of potential loss. The final outcome of the litigation in which the Company is involved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the reserved amount, and additional losses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incurred.</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Warrant Dividend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3, 2024, </w:t>
      </w:r>
      <w:r>
        <w:rPr>
          <w:rFonts w:ascii="Times New Roman" w:hAnsi="Times New Roman"/>
          <w:caps w:val="false"/>
          <w:smallCaps w:val="false"/>
          <w:sz w:val="20"/>
        </w:rPr>
        <w:t xml:space="preserve">the Company made a distribution to the holders of record of the Company’s common stock in the form of warrants to purchase shares of common stock. Each holder of record of the Company's common stock as of the close of business on </w:t>
      </w:r>
      <w:r>
        <w:rPr>
          <w:rStyle w:val="Emphasis"/>
          <w:rFonts w:ascii="Times New Roman" w:hAnsi="Times New Roman"/>
          <w:caps w:val="false"/>
          <w:smallCaps w:val="false"/>
          <w:sz w:val="20"/>
        </w:rPr>
        <w:t xml:space="preserve">December 22, 2023 </w:t>
      </w:r>
      <w:r>
        <w:rPr>
          <w:rFonts w:ascii="Times New Roman" w:hAnsi="Times New Roman"/>
          <w:caps w:val="false"/>
          <w:smallCaps w:val="false"/>
          <w:sz w:val="20"/>
        </w:rPr>
        <w:t>received four warrants for every 10 shares of common stock (rounded down for any fractional warrant) resulting in the issuance of approximately 16.9 million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 w:hAnsi="Times New Roman"/>
          <w:caps w:val="false"/>
          <w:smallCaps w:val="false"/>
          <w:sz w:val="20"/>
        </w:rPr>
        <w:t xml:space="preserve">Each warrant entitled the holder to purchase, at the holder’s sole expense and exclusive election, at an exercise price of $33.00 per warrant, one and </w:t>
      </w:r>
      <w:r>
        <w:rPr>
          <w:rStyle w:val="Emphasis"/>
          <w:rFonts w:ascii="Times New Roman" w:hAnsi="Times New Roman"/>
          <w:caps w:val="false"/>
          <w:smallCaps w:val="false"/>
          <w:sz w:val="20"/>
        </w:rPr>
        <w:t>one</w:t>
      </w:r>
      <w:r>
        <w:rPr>
          <w:rFonts w:ascii="Times New Roman" w:hAnsi="Times New Roman"/>
          <w:caps w:val="false"/>
          <w:smallCaps w:val="false"/>
          <w:sz w:val="20"/>
        </w:rPr>
        <w:t>-half shares of common stock (rounded down for any fractional shares). Payment for shares of common stock upon exercise of warrants was required to be in cash.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15, 2024, </w:t>
      </w:r>
      <w:r>
        <w:rPr>
          <w:rFonts w:ascii="Times New Roman" w:hAnsi="Times New Roman"/>
          <w:caps w:val="false"/>
          <w:smallCaps w:val="false"/>
          <w:sz w:val="20"/>
        </w:rPr>
        <w:t xml:space="preserve">the Company announced that all outstanding warrants would be redeemed on </w:t>
      </w:r>
      <w:r>
        <w:rPr>
          <w:rStyle w:val="Emphasis"/>
          <w:rFonts w:ascii="Times New Roman" w:hAnsi="Times New Roman"/>
          <w:caps w:val="false"/>
          <w:smallCaps w:val="false"/>
          <w:sz w:val="20"/>
        </w:rPr>
        <w:t>May 7, 2024 (</w:t>
      </w:r>
      <w:r>
        <w:rPr>
          <w:rFonts w:ascii="Times New Roman" w:hAnsi="Times New Roman"/>
          <w:caps w:val="false"/>
          <w:smallCaps w:val="false"/>
          <w:sz w:val="20"/>
        </w:rPr>
        <w:t xml:space="preserve">the “Redemption Date”). The redemption price was equal to 1/10 of $0.01 per warrant. The warrants were exercisable at any time starting on </w:t>
      </w:r>
      <w:r>
        <w:rPr>
          <w:rStyle w:val="Emphasis"/>
          <w:rFonts w:ascii="Times New Roman" w:hAnsi="Times New Roman"/>
          <w:caps w:val="false"/>
          <w:smallCaps w:val="false"/>
          <w:sz w:val="20"/>
        </w:rPr>
        <w:t>January 3, 2024 </w:t>
      </w:r>
      <w:r>
        <w:rPr>
          <w:rFonts w:ascii="Times New Roman" w:hAnsi="Times New Roman"/>
          <w:caps w:val="false"/>
          <w:smallCaps w:val="false"/>
          <w:sz w:val="20"/>
        </w:rPr>
        <w:t>until the business day prior to the Redemption Date. There are no remaining warrants currently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warrants were subject to the terms and conditions of the Warrant Agreement (including Form of Warrant), dated </w:t>
      </w:r>
      <w:r>
        <w:rPr>
          <w:rStyle w:val="Emphasis"/>
          <w:rFonts w:ascii="Times New Roman" w:hAnsi="Times New Roman"/>
          <w:caps w:val="false"/>
          <w:smallCaps w:val="false"/>
          <w:sz w:val="20"/>
        </w:rPr>
        <w:t xml:space="preserve">January 3, 2024, </w:t>
      </w:r>
      <w:r>
        <w:rPr>
          <w:rFonts w:ascii="Times New Roman" w:hAnsi="Times New Roman"/>
          <w:caps w:val="false"/>
          <w:smallCaps w:val="false"/>
          <w:sz w:val="20"/>
        </w:rPr>
        <w:t xml:space="preserve">between the Company, Computershare Inc., and Computershare Trust Company, N.A. as filed in a Current Report on Form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-K with the SEC on </w:t>
      </w:r>
      <w:r>
        <w:rPr>
          <w:rStyle w:val="Emphasis"/>
          <w:rFonts w:ascii="Times New Roman" w:hAnsi="Times New Roman"/>
          <w:caps w:val="false"/>
          <w:smallCaps w:val="false"/>
          <w:sz w:val="20"/>
        </w:rPr>
        <w:t xml:space="preserve">January 3, 2024. </w:t>
      </w:r>
      <w:r>
        <w:rPr>
          <w:rFonts w:ascii="Times New Roman" w:hAnsi="Times New Roman"/>
          <w:caps w:val="false"/>
          <w:smallCaps w:val="false"/>
          <w:sz w:val="20"/>
        </w:rPr>
        <w:t>The warrants were listed and traded separately from the Company's common stock on the Nasdaq Capital Market under the ticker “SAVAW”.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January 3, 2024 </w:t>
      </w:r>
      <w:r>
        <w:rPr>
          <w:rFonts w:ascii="Times New Roman" w:hAnsi="Times New Roman"/>
          <w:caps w:val="false"/>
          <w:smallCaps w:val="false"/>
          <w:sz w:val="20"/>
        </w:rPr>
        <w:t xml:space="preserve">through the Redemption Date, a total of approximately 3.8 million warrants were exercised. Gross proceeds for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from the warrant distribution totaled approximately $126.3 million from the issuance of approximately 5.7 million common shares at $22.00 per share. Total net proceeds of the warrant distribution were approximately $123.6 million after deducting exercise expenses and commissions.</w:t>
      </w:r>
    </w:p>
    <w:p>
      <w:pPr>
        <w:pStyle w:val="TextBody"/>
        <w:bidi w:val="0"/>
        <w:spacing w:before="0" w:after="0"/>
        <w:ind w:left="0" w:right="0" w:firstLine="36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$20 million of gross proceeds, the Company was obligated to pay a commission of 2.5% of the gross proceeds from the sale of shares of common stock from warrant exercises to the Company's financial advisor for the warrant distribution. Total cost of warrant exercises through the Redemption Date were approximately $2.7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Costs of the warrant distribution totaling approximately $537,000 were recorded as general and administrative expenses in the statements of operations upon distribution of the warrants on </w:t>
      </w:r>
      <w:r>
        <w:rPr>
          <w:rStyle w:val="Emphasis"/>
          <w:rFonts w:ascii="Times New Roman" w:hAnsi="Times New Roman"/>
          <w:caps w:val="false"/>
          <w:smallCaps w:val="false"/>
          <w:sz w:val="20"/>
        </w:rPr>
        <w:t>January 3,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outstanding warrants were classified as liabilities in accordance with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which required the warrants to be measured at initial fair value on </w:t>
      </w:r>
      <w:r>
        <w:rPr>
          <w:rStyle w:val="Emphasis"/>
          <w:rFonts w:ascii="Times New Roman" w:hAnsi="Times New Roman"/>
          <w:caps w:val="false"/>
          <w:smallCaps w:val="false"/>
          <w:sz w:val="20"/>
        </w:rPr>
        <w:t>January 3, 2024 </w:t>
      </w:r>
      <w:r>
        <w:rPr>
          <w:rFonts w:ascii="Times New Roman" w:hAnsi="Times New Roman"/>
          <w:caps w:val="false"/>
          <w:smallCaps w:val="false"/>
          <w:sz w:val="20"/>
        </w:rPr>
        <w:t xml:space="preserve">and at each reporting period thereafter, with the changes in fair value recognized as a non-cash gain or loss in our consolidated statements of operations.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there were no warrants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period from common stock warrant distribution on </w:t>
      </w:r>
      <w:r>
        <w:rPr>
          <w:rStyle w:val="Emphasis"/>
          <w:rFonts w:ascii="Times New Roman" w:hAnsi="Times New Roman"/>
          <w:caps w:val="false"/>
          <w:smallCaps w:val="false"/>
          <w:sz w:val="20"/>
        </w:rPr>
        <w:t xml:space="preserve">January 3, 2024 </w:t>
      </w:r>
      <w:r>
        <w:rPr>
          <w:rFonts w:ascii="Times New Roman" w:hAnsi="Times New Roman"/>
          <w:caps w:val="false"/>
          <w:smallCaps w:val="false"/>
          <w:sz w:val="20"/>
        </w:rPr>
        <w:t>to the Redemption Date, changes in the Company's common stock warrants liability and warrants outstanding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4"/>
        <w:gridCol w:w="60"/>
        <w:gridCol w:w="236"/>
        <w:gridCol w:w="2600"/>
        <w:gridCol w:w="80"/>
        <w:gridCol w:w="60"/>
        <w:gridCol w:w="401"/>
        <w:gridCol w:w="2231"/>
        <w:gridCol w:w="83"/>
      </w:tblGrid>
      <w:tr>
        <w:trPr/>
        <w:tc>
          <w:tcPr>
            <w:tcW w:w="44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 Common Stock Warrants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 Warrant Liability</w:t>
            </w:r>
          </w:p>
        </w:tc>
        <w:tc>
          <w:tcPr>
            <w:tcW w:w="83" w:type="dxa"/>
            <w:tcBorders/>
            <w:shd w:fill="FFFFFF" w:val="clear"/>
            <w:vAlign w:val="center"/>
          </w:tcPr>
          <w:p>
            <w:pPr>
              <w:pStyle w:val="TableContents"/>
              <w:bidi w:val="0"/>
              <w:spacing w:before="0" w:after="283"/>
              <w:jc w:val="left"/>
              <w:rPr/>
            </w:pPr>
            <w:r>
              <w:rPr/>
              <w:t> </w:t>
            </w:r>
          </w:p>
        </w:tc>
      </w:tr>
      <w:tr>
        <w:trPr/>
        <w:tc>
          <w:tcPr>
            <w:tcW w:w="4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common stock warrants on January 3, 2024</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2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113,363</w:t>
            </w:r>
          </w:p>
        </w:tc>
        <w:tc>
          <w:tcPr>
            <w:tcW w:w="83" w:type="dxa"/>
            <w:tcBorders/>
            <w:shd w:fill="CCEEFF" w:val="clear"/>
            <w:vAlign w:val="center"/>
          </w:tcPr>
          <w:p>
            <w:pPr>
              <w:pStyle w:val="TableContents"/>
              <w:bidi w:val="0"/>
              <w:spacing w:before="0" w:after="283"/>
              <w:jc w:val="left"/>
              <w:rPr/>
            </w:pPr>
            <w:r>
              <w:rPr/>
              <w:t> </w:t>
            </w:r>
          </w:p>
        </w:tc>
      </w:tr>
      <w:tr>
        <w:trPr/>
        <w:tc>
          <w:tcPr>
            <w:tcW w:w="44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exercised</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2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ind w:left="0" w:right="0" w:hanging="0"/>
              <w:jc w:val="left"/>
              <w:rPr/>
            </w:pPr>
            <w:r>
              <w:rPr/>
              <w:t> </w:t>
            </w:r>
          </w:p>
        </w:tc>
        <w:tc>
          <w:tcPr>
            <w:tcW w:w="22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(43,041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2024</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2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ind w:left="0" w:right="0" w:hanging="0"/>
              <w:jc w:val="left"/>
              <w:rPr/>
            </w:pPr>
            <w:r>
              <w:rPr/>
              <w:t> </w:t>
            </w:r>
          </w:p>
        </w:tc>
        <w:tc>
          <w:tcPr>
            <w:tcW w:w="22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65,368</w:t>
            </w:r>
          </w:p>
        </w:tc>
        <w:tc>
          <w:tcPr>
            <w:tcW w:w="83" w:type="dxa"/>
            <w:tcBorders/>
            <w:shd w:fill="FFFFFF" w:val="clear"/>
            <w:vAlign w:val="center"/>
          </w:tcPr>
          <w:p>
            <w:pPr>
              <w:pStyle w:val="TableContents"/>
              <w:bidi w:val="0"/>
              <w:spacing w:before="0" w:after="283"/>
              <w:jc w:val="left"/>
              <w:rPr/>
            </w:pPr>
            <w:r>
              <w:rPr/>
              <w:t> </w:t>
            </w:r>
          </w:p>
        </w:tc>
      </w:tr>
      <w:tr>
        <w:trPr/>
        <w:tc>
          <w:tcPr>
            <w:tcW w:w="44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exercised</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2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ind w:left="0" w:right="0" w:hanging="0"/>
              <w:jc w:val="left"/>
              <w:rPr/>
            </w:pPr>
            <w:r>
              <w:rPr/>
              <w:t> </w:t>
            </w:r>
          </w:p>
        </w:tc>
        <w:tc>
          <w:tcPr>
            <w:tcW w:w="22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26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ind w:left="0" w:right="0" w:hanging="0"/>
              <w:jc w:val="left"/>
              <w:rPr/>
            </w:pPr>
            <w:r>
              <w:rPr/>
              <w:t> </w:t>
            </w:r>
          </w:p>
        </w:tc>
        <w:tc>
          <w:tcPr>
            <w:tcW w:w="22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(65,142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5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Redemption of common stock warrants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3" w:type="dxa"/>
            <w:tcBorders/>
            <w:shd w:fill="CCEEFF" w:val="clear"/>
            <w:vAlign w:val="center"/>
          </w:tcPr>
          <w:p>
            <w:pPr>
              <w:pStyle w:val="TableContents"/>
              <w:bidi w:val="0"/>
              <w:spacing w:before="0" w:after="283"/>
              <w:jc w:val="left"/>
              <w:rPr/>
            </w:pPr>
            <w:r>
              <w:rPr/>
              <w:t> </w:t>
            </w:r>
          </w:p>
        </w:tc>
      </w:tr>
      <w:tr>
        <w:trPr/>
        <w:tc>
          <w:tcPr>
            <w:tcW w:w="4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2024</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4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4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for additional information regarding common stock warrants and associated warrant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360"/>
        <w:jc w:val="left"/>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Restructuring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7, 2025, </w:t>
      </w:r>
      <w:r>
        <w:rPr>
          <w:rFonts w:ascii="Times New Roman" w:hAnsi="Times New Roman"/>
          <w:caps w:val="false"/>
          <w:smallCaps w:val="false"/>
          <w:sz w:val="20"/>
        </w:rPr>
        <w:t>the Company announced a reduction in its workforce by 10 employees, a reduction of 33% (the “Workforce Reduction”). The Company communicated the Workforce Reduction to affected employees on </w:t>
      </w:r>
      <w:r>
        <w:rPr>
          <w:rStyle w:val="Emphasis"/>
          <w:rFonts w:ascii="Times New Roman" w:hAnsi="Times New Roman"/>
          <w:caps w:val="false"/>
          <w:smallCaps w:val="false"/>
          <w:sz w:val="20"/>
        </w:rPr>
        <w:t xml:space="preserve"> January 7, 2025</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The Company incurred approximately $0.4 million of </w:t>
      </w:r>
      <w:r>
        <w:rPr>
          <w:rStyle w:val="Emphasis"/>
          <w:rFonts w:ascii="Times New Roman" w:hAnsi="Times New Roman"/>
          <w:caps w:val="false"/>
          <w:smallCaps w:val="false"/>
          <w:sz w:val="20"/>
        </w:rPr>
        <w:t>one</w:t>
      </w:r>
      <w:r>
        <w:rPr>
          <w:rFonts w:ascii="Times New Roman" w:hAnsi="Times New Roman"/>
          <w:caps w:val="false"/>
          <w:smallCaps w:val="false"/>
          <w:sz w:val="20"/>
        </w:rPr>
        <w:t>-time costs in connection with the Workforce Reduction, primarily related to severance payments. The Company's Workforce Reduction was completed, and the associated costs and cash payments were made,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1" w:name="item9"/>
      <w:bookmarkEnd w:id="21"/>
      <w:r>
        <w:rPr>
          <w:rFonts w:ascii="Times New Roman" w:hAnsi="Times New Roman"/>
          <w:b/>
          <w:caps w:val="false"/>
          <w:smallCaps w:val="false"/>
          <w:sz w:val="20"/>
        </w:rPr>
        <w:t>Item 9.</w:t>
      </w:r>
      <w:r>
        <w:rPr>
          <w:rFonts w:ascii="Times New Roman" w:hAnsi="Times New Roman"/>
          <w:caps w:val="false"/>
          <w:smallCaps w:val="false"/>
          <w:sz w:val="20"/>
        </w:rPr>
        <w:t>    </w:t>
      </w:r>
      <w:r>
        <w:rPr>
          <w:rFonts w:ascii="Times New Roman" w:hAnsi="Times New Roman"/>
          <w:b/>
          <w:i/>
          <w:caps w:val="false"/>
          <w:smallCaps w:val="false"/>
          <w:sz w:val="20"/>
        </w:rPr>
        <w:t>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2" w:name="item9a"/>
      <w:bookmarkEnd w:id="22"/>
      <w:r>
        <w:rPr>
          <w:rFonts w:ascii="Times New Roman" w:hAnsi="Times New Roman"/>
          <w:b/>
          <w:caps w:val="false"/>
          <w:smallCaps w:val="false"/>
          <w:sz w:val="20"/>
        </w:rPr>
        <w:t>Item 9A.</w:t>
      </w:r>
      <w:r>
        <w:rPr>
          <w:rFonts w:ascii="Times New Roman" w:hAnsi="Times New Roman"/>
          <w:caps w:val="false"/>
          <w:smallCaps w:val="false"/>
          <w:sz w:val="20"/>
        </w:rPr>
        <w:t>    </w:t>
      </w:r>
      <w:r>
        <w:rPr>
          <w:rFonts w:ascii="Times New Roman" w:hAnsi="Times New Roman"/>
          <w:b/>
          <w:i/>
          <w:caps w:val="false"/>
          <w:smallCaps w:val="false"/>
          <w:sz w:val="20"/>
        </w:rPr>
        <w:t>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our Chief Financial Officer, evaluated the effectiveness of our disclosure controls and procedures as of the end of the period covered by this Annual Report on Form 10-K. Based on this evaluation, our Chief Executive Officer and our Chief Financial Officer have concluded that our disclosure controls and procedures were effective to ensure that information we are required to disclose in reports that we file or submit under the Exchange Act is recorded, processed, summarized and reported within the time periods specified in the Securities and Exchange Commission, or SEC, rules and forms and that such information is accumulated and communicated to management as appropriate to allow timely decisions regarding required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annual report on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our financial reporting. Our management has assessed the effectiveness of internal control over financial reporting as of December 31, 2025. Our assessment was based on criteria set forth by the Committee of Sponsoring Organizations of the Treadway Commission, or COSO, in Internal Control-Integrated Framework (2013 Framework).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pertain to the maintenance of records that, in reasonable detail, accurately and fairly reflect our transactions and dispositions of our assets;</w:t>
            </w:r>
          </w:p>
        </w:tc>
      </w:tr>
    </w:tbl>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provide reasonable assurance that transactions are recorded as necessary to permit preparation of consolidated financial statements in accordance with generally accepted accounting principles, and that our receipts and expenditures are being made only in accordance with authorizations of our management and board of directors; and</w:t>
            </w:r>
          </w:p>
        </w:tc>
      </w:tr>
    </w:tbl>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provide reasonable assurance regarding prevention or timely detection of unauthorized acquisition, use, or disposition of our assets that could have a material effect on the consolidated financial statements.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Based on it’s assessment under the COSO framework, management concluded that our internal control over financial reporting as of December 31, 2025 was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that occurred during the quarter ended December 31, 2025 that has materially affected, or is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This report does not include an attestation report of our registered public accounting firm regarding internal control over financial reporting. As a “smaller reporting company,” management’s report is not subject to attestation by our registered public accounting firm.</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23" w:name="item9b"/>
      <w:bookmarkEnd w:id="23"/>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9B.</w:t>
      </w:r>
      <w:r>
        <w:rPr>
          <w:rFonts w:ascii="Times New Roman" w:hAnsi="Times New Roman"/>
          <w:caps w:val="false"/>
          <w:smallCaps w:val="false"/>
          <w:sz w:val="20"/>
        </w:rPr>
        <w:t>    </w:t>
      </w:r>
      <w:r>
        <w:rPr>
          <w:rFonts w:ascii="Times New Roman" w:hAnsi="Times New Roman"/>
          <w:b/>
          <w:i/>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none of our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of the Exchange Act) informed us of the adoption or termination of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those terms are defined in Regulation S-K, Item </w:t>
      </w:r>
      <w:r>
        <w:rPr>
          <w:rStyle w:val="Emphasis"/>
          <w:rFonts w:ascii="Times New Roman" w:hAnsi="Times New Roman"/>
          <w:caps w:val="false"/>
          <w:smallCaps w:val="false"/>
          <w:sz w:val="20"/>
        </w:rPr>
        <w:t>408.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4" w:name="item9c"/>
      <w:bookmarkEnd w:id="24"/>
      <w:r>
        <w:rPr>
          <w:rFonts w:ascii="Times New Roman" w:hAnsi="Times New Roman"/>
          <w:b/>
          <w:caps w:val="false"/>
          <w:smallCaps w:val="false"/>
          <w:sz w:val="20"/>
        </w:rPr>
        <w:t xml:space="preserve">Item 9C. </w:t>
      </w:r>
      <w:r>
        <w:rPr>
          <w:rFonts w:ascii="Times New Roman" w:hAnsi="Times New Roman"/>
          <w:b/>
          <w:i/>
          <w:caps w:val="false"/>
          <w:smallCaps w:val="false"/>
          <w:sz w:val="20"/>
        </w:rPr>
        <w:t>Disclosure Regarding Foreign Jurisdictions that Prevent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5" w:name="item10"/>
      <w:bookmarkEnd w:id="25"/>
      <w:r>
        <w:rPr>
          <w:rFonts w:ascii="Times New Roman" w:hAnsi="Times New Roman"/>
          <w:b/>
          <w:caps w:val="false"/>
          <w:smallCaps w:val="false"/>
          <w:sz w:val="20"/>
        </w:rPr>
        <w:t>Item 10.</w:t>
      </w:r>
      <w:r>
        <w:rPr>
          <w:rFonts w:ascii="Times New Roman" w:hAnsi="Times New Roman"/>
          <w:caps w:val="false"/>
          <w:smallCaps w:val="false"/>
          <w:sz w:val="20"/>
        </w:rPr>
        <w:t>    </w:t>
      </w:r>
      <w:r>
        <w:rPr>
          <w:rFonts w:ascii="Times New Roman" w:hAnsi="Times New Roman"/>
          <w:b/>
          <w:i/>
          <w:caps w:val="false"/>
          <w:smallCaps w:val="false"/>
          <w:sz w:val="20"/>
        </w:rPr>
        <w:t xml:space="preserve">Directors, Executive Officers and Corporate Governance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information regarding our directors (other than the biographies below), executive officers, director nomination process and the audit committee of the Board is incorporated by reference from “Directors and Executive Officers” in our Proxy Statement for our 2026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Biographies of Directors and Executive Officers</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rFonts w:ascii="Times New Roman" w:hAnsi="Times New Roman"/>
          <w:i/>
          <w:caps w:val="false"/>
          <w:smallCaps w:val="false"/>
          <w:sz w:val="20"/>
        </w:rPr>
        <w:t>Richard J. Barry</w:t>
      </w:r>
      <w:r>
        <w:rPr>
          <w:rFonts w:ascii="Times New Roman" w:hAnsi="Times New Roman"/>
          <w:caps w:val="false"/>
          <w:smallCaps w:val="false"/>
          <w:sz w:val="20"/>
        </w:rPr>
        <w:t xml:space="preserve"> has served as a director since June 2021 and was appointed Chief Executive Officer in September 2024. Mr. Barry served as Executive Chairman of the Board beginning July 2024 until his appointment as Chief Executive Officer. Since June 2015, Mr. Barry has also served as a director of Sarepta Therapeutics, Inc., (Nasdaq: SRPT). Mr. Barry has extensive experience in the investment management business. He was a founding member of Eastbourne Capital Management LLC, and served as a Managing General Partner and Portfolio Manager from 1999 to its close in 2010. Prior to Eastbourne, Mr. Barry was a Portfolio Manager and Managing Director of Robertson Stephens Investment Management. Mr. Barry holds a Bachelor of Arts from Pennsylvania State University.</w:t>
      </w:r>
      <w:r>
        <w:rPr>
          <w:rFonts w:cs="Times New Roman"/>
          <w:caps w:val="false"/>
          <w:smallCaps w:val="false"/>
          <w:szCs w:val="20"/>
        </w:rPr>
        <w:t>﻿</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R. Christopher Cook</w:t>
      </w:r>
      <w:r>
        <w:rPr>
          <w:rFonts w:ascii="Times New Roman" w:hAnsi="Times New Roman"/>
          <w:caps w:val="false"/>
          <w:smallCaps w:val="false"/>
          <w:sz w:val="20"/>
        </w:rPr>
        <w:t xml:space="preserve"> was appointed Chief Operating and Legal Officer of the Company in April 2025. He joined the Company as Senior Vice President and General Counsel in October 2022. He previously served, since 2017, as the Global Head of Litigation and Government Investigations for Alcon, a publicly traded medical device and pharmaceutical company, as well as the Vice President and division General Counsel for Walmart Central America in San Jose, Costa Rica. Mr. Cook also spent seventeen years at Jones Day, where he was a litigation partner in the firm's Washington, DC and Chicago offices. He served as an Assistant United States Attorney in Chicago and graduated from Harvard Law School.</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Eric Schoen</w:t>
      </w:r>
      <w:r>
        <w:rPr>
          <w:rFonts w:ascii="Times New Roman" w:hAnsi="Times New Roman"/>
          <w:caps w:val="false"/>
          <w:smallCaps w:val="false"/>
          <w:sz w:val="20"/>
        </w:rPr>
        <w:t xml:space="preserve"> has served as Chief Financial Officer since 2018. Prior to joining the Company, Mr. Schoen served in numerous financial leadership roles. Most recently, he served as Vice President, Senior Vice President, Finance and Chief Accounting Officer of Aspira Women’s Health Inc. (formerly Vermillion, Inc.), a publicly-held women’s health company, from 2011 to 2017. Mr. Schoen also began his career and spent nine years with PricewaterhouseCoopers in the audit and assurance, transaction services and global capital markets practices. Mr. Schoen received his B.S. in Finance from Santa Clara University.</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Robert Anderson, Jr.</w:t>
      </w:r>
      <w:r>
        <w:rPr>
          <w:rFonts w:ascii="Times New Roman" w:hAnsi="Times New Roman"/>
          <w:caps w:val="false"/>
          <w:smallCaps w:val="false"/>
          <w:sz w:val="20"/>
        </w:rPr>
        <w:t> has served as a director since December 2023. Mr. Anderson has decades of operational experience in cybersecurity, counterintelligence, economic espionage and critical incident response and management. Mr. Anderson previously led more than 20,000 FBI employees as the bureau’s Executive Assistant Director of the Criminal, Cyber, Response and Services Branch— the No. 3 position in the organization. From January 2025 until March 2025, Mr. Anderson was a managing partner at Oak Truss Group (formerly Cyber Defense Labs), an advisory firm focused on cybersecurity, where he served as Chief Executive Officer (March 2019 – December 2024) and Chairman of the Board (January 2022 – December 2024). Mr. Anderson holds a Bachelor of Science and a Master in Public Administration from Wilmington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Dawn Bir</w:t>
      </w:r>
      <w:r>
        <w:rPr>
          <w:rFonts w:ascii="Times New Roman" w:hAnsi="Times New Roman"/>
          <w:caps w:val="false"/>
          <w:smallCaps w:val="false"/>
          <w:sz w:val="20"/>
        </w:rPr>
        <w:t xml:space="preserve"> has served as a Director since October 2025. Dawn brings over 30 years of leadership in biotechnology with emerging and established companies, and diverse experiences including clinical development, commercial, medical, strategic business planning, financial and operations. During 2025, she served as Interim President and CEO of Geron Corporation (Nasdaq: GERN). Before this role, Dawn was Executive Vice President and Chief Commercial Officer at Reata Pharmaceuticals, through the development and commercialization of their first drug and the company's $7.3 billion acquisition by Biogen in 2023. Previously, she was Vice President at Pharmacyclics through the company's first drug approval, launch, and its $21 billion acquisition by AbbVie in 2015. She currently holds board positions at Geron Corporation and Soleno Therapeutics (Nasdaq: SLNO), both with a focus on treatments for rare and serious diseases. Dawn holds a Bachelor of Science in Biology from Binghamton University in New York.</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Pierre Gravier</w:t>
      </w:r>
      <w:r>
        <w:rPr>
          <w:rFonts w:ascii="Times New Roman" w:hAnsi="Times New Roman"/>
          <w:caps w:val="false"/>
          <w:smallCaps w:val="false"/>
          <w:sz w:val="20"/>
        </w:rPr>
        <w:t> has served as a director since December 2023. Since July 2023, Mr. Gravier has been the Chief Financial Officer of PTC Therapeutics, Inc., a publicly traded biotechnology company. From 2013 to July 2023, Mr. Gravier was previously Managing Director in the healthcare group of Perella Weinberg Partners, a leading global independent advisory firm that provides strategic, financial, and tactical advice in connection with executing mergers, acquisitions and other corporate strategies. Mr. Gravier holds a Master’s Degree in Finance from ESCP Business School and a Master of Science in Bioengineering from the University of Technology of Compiègne.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Robert Z. Gussin, Ph.D</w:t>
      </w:r>
      <w:r>
        <w:rPr>
          <w:rFonts w:ascii="Times New Roman" w:hAnsi="Times New Roman"/>
          <w:caps w:val="false"/>
          <w:smallCaps w:val="false"/>
          <w:sz w:val="20"/>
        </w:rPr>
        <w:t>. has served as a director since 2003. Dr. Gussin worked at Johnson &amp; Johnson for 26 years, most recently as Chief Scientific Officer and Corporate Vice President, Science and Technology from 1986 through his retirement in 2000. Dr. Gussin served on the board of directors of Duquesne University and the advisory boards of the Duquesne University Pharmacy School and the University of Michigan Medical School Department of Pharmacology. Dr. Gussin received his B.S. and M.S. degrees and D.Sc. with honors from Duquesne University and his Ph.D. in Pharmacology from the University of Michigan, Ann Arbor.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Claude Nicaise, M.D.</w:t>
      </w:r>
      <w:r>
        <w:rPr>
          <w:rFonts w:ascii="Times New Roman" w:hAnsi="Times New Roman"/>
          <w:caps w:val="false"/>
          <w:smallCaps w:val="false"/>
          <w:sz w:val="20"/>
        </w:rPr>
        <w:t> has served as a director since December 2023 and was named Chairman of the Board in September 2024. Since June 2015, Dr. Nicaise has also served as a director of Sarepta Therapeutics, Inc., (Nasdaq: SRPT). Since January 2021, Dr. Nicaise has served as a member of the board of directors of Gain Therapeutics. Since March 2021, Dr. Nicaise has served as a member of the board of directors of Chemomab Therapeutics Ltd. Dr. Nicaise has held clinical/regulatory leadership roles that have resulted in 14 new drug approvals in various diseases areas, including neuroscience. Dr. Nicaise is the founder of Clinical Regulatory Services, a company providing advice on clinical and regulatory matters to biotechnology companies. Dr. Nicaise also held the position of Senior Vice President, Head of R&amp;D, for Ovid Therapeutics Inc., a company that develops medicines for orphan diseases of the brain, from 2021 to 2023. Dr. Nicaise was a Senior Vice President of Strategic Development and Global Regulatory Affairs at Alexion Pharmaceuticals from 2008 to 2014. From 1983 to 2008, Dr. Nicaise served in various positions of increasing responsibility at Bristol-Myers Squibb, including senior positions such as Vice President of Global Development and Vice-President of Worldwide Regulatory Science and Strategy. Dr. Nicaise received his M.D. from the Université Libre de Bruxelles in Belgium.</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Michael J. O</w:t>
      </w:r>
      <w:r>
        <w:rPr>
          <w:rFonts w:ascii="Times New Roman" w:hAnsi="Times New Roman"/>
          <w:caps w:val="false"/>
          <w:smallCaps w:val="false"/>
          <w:sz w:val="20"/>
        </w:rPr>
        <w:t>’</w:t>
      </w:r>
      <w:r>
        <w:rPr>
          <w:rFonts w:ascii="Times New Roman" w:hAnsi="Times New Roman"/>
          <w:i/>
          <w:caps w:val="false"/>
          <w:smallCaps w:val="false"/>
          <w:sz w:val="20"/>
        </w:rPr>
        <w:t>Donnell, Esq</w:t>
      </w:r>
      <w:r>
        <w:rPr>
          <w:rFonts w:ascii="Times New Roman" w:hAnsi="Times New Roman"/>
          <w:caps w:val="false"/>
          <w:smallCaps w:val="false"/>
          <w:sz w:val="20"/>
        </w:rPr>
        <w:t>. has served as a director since 1998. Mr. O’Donnell is employed at the law firm of Orrick Herrington Sutcliffe LLP since June 2021 with the title Senior Partner. Orrick, Herrington &amp; Sutcliffe LLP provides legal services to the Company. Previously, Mr. O’Donnell was a member of Morrison &amp; Foerster LLP from 2011 to 2021. Mr. O’Donnell serves as corporate counsel to numerous public and private biopharmaceutical and life sciences companies. Previously, Mr. O’Donnell was a member of Wilson Sonsini Goodrich &amp; Rosati. Mr. O’Donnell received his J.D., cum laude, from Harvard University and his B.A. from Bucknell University, summa cum laude.</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Patrick J. Scannon, M.D., Ph.D.</w:t>
      </w:r>
      <w:r>
        <w:rPr>
          <w:rFonts w:ascii="Times New Roman" w:hAnsi="Times New Roman"/>
          <w:caps w:val="false"/>
          <w:smallCaps w:val="false"/>
          <w:sz w:val="20"/>
        </w:rPr>
        <w:t xml:space="preserve"> has served as a director since 2007. Dr. Scannon is one of the founders of XOMA. From 2006 to 2016, Dr. Scannon was Executive Vice President, Chief Biotechnology Officer of XOMA. From 1993 to 2006, Dr. Scannon served as Chief Scientific and Medical Officer of XOMA. Dr. Scannon retired from XOMA and resigned from XOMA’s board of directors in 2016. Dr. Scannon received his Ph.D. in organic chemistry from the University of California, Berkeley and his M.D. from the Medical College of Georgia.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Section 16(a) Beneficial Ownership Reporting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Section 16(a) of the Exchange Act requires our executive officers and directors and persons who own more than ten percent (10%) of a registered class of our equity securities to file reports of ownership and changes in ownership with the SEC. Executive officers, directors and greater than ten percent (10%) stockholders are required to furnish us with copies of all Section 16(a) forms they file. We believe all of our executive officers and directors complied with all applicable filing requirements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Code of Ethics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We have adopted a Code of Ethics that applies to all of our directors, officers and employees, including our principal executive officer and principal financial officer. We publicize the Code of Ethics through posting the policy on our website, </w:t>
      </w:r>
      <w:r>
        <w:rPr>
          <w:rFonts w:ascii="Times New Roman" w:hAnsi="Times New Roman"/>
          <w:caps w:val="false"/>
          <w:smallCaps w:val="false"/>
          <w:sz w:val="20"/>
          <w:u w:val="single"/>
        </w:rPr>
        <w:t>http://www.filanatx.com</w:t>
      </w:r>
      <w:r>
        <w:rPr>
          <w:rFonts w:ascii="Times New Roman" w:hAnsi="Times New Roman"/>
          <w:caps w:val="false"/>
          <w:smallCaps w:val="false"/>
          <w:sz w:val="20"/>
        </w:rPr>
        <w:t>. We will disclose on our website any waivers of, or amendments to, our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bookmarkStart w:id="26" w:name="item11"/>
      <w:bookmarkEnd w:id="26"/>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i/>
          <w:caps w:val="false"/>
          <w:smallCaps w:val="false"/>
          <w:sz w:val="20"/>
        </w:rPr>
        <w:t>Executive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by reference from our definitive Proxy Statement referred to in Item 10 above where it appears under the heading “Executive Compensation and 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27" w:name="item12"/>
      <w:bookmarkEnd w:id="27"/>
      <w:r>
        <w:rPr>
          <w:rFonts w:ascii="Times New Roman" w:hAnsi="Times New Roman"/>
          <w:b/>
          <w:caps w:val="false"/>
          <w:smallCaps w:val="false"/>
          <w:sz w:val="20"/>
        </w:rPr>
        <w:t>Item 12.</w:t>
      </w:r>
      <w:r>
        <w:rPr>
          <w:rFonts w:ascii="Times New Roman" w:hAnsi="Times New Roman"/>
          <w:caps w:val="false"/>
          <w:smallCaps w:val="false"/>
          <w:sz w:val="20"/>
        </w:rPr>
        <w:t xml:space="preserve"> </w:t>
      </w:r>
      <w:r>
        <w:rPr>
          <w:rFonts w:ascii="Times New Roman" w:hAnsi="Times New Roman"/>
          <w:b/>
          <w:i/>
          <w:caps w:val="false"/>
          <w:smallCaps w:val="false"/>
          <w:sz w:val="20"/>
        </w:rPr>
        <w:t>Security Ownership of Certain Beneficial Owners and Management and Related Stockholder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regarding security ownership of certain beneficial owners and management is incorporated by reference from our definitive Proxy Statement referred to in Item 10 above where it appears under the heading “Security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securities authorized for issuance under our equity compensation plans as of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07"/>
        <w:gridCol w:w="60"/>
        <w:gridCol w:w="100"/>
        <w:gridCol w:w="1433"/>
        <w:gridCol w:w="60"/>
        <w:gridCol w:w="238"/>
        <w:gridCol w:w="60"/>
        <w:gridCol w:w="326"/>
        <w:gridCol w:w="1208"/>
        <w:gridCol w:w="60"/>
        <w:gridCol w:w="238"/>
        <w:gridCol w:w="60"/>
        <w:gridCol w:w="143"/>
        <w:gridCol w:w="1611"/>
        <w:gridCol w:w="60"/>
        <w:gridCol w:w="241"/>
      </w:tblGrid>
      <w:tr>
        <w:trPr/>
        <w:tc>
          <w:tcPr>
            <w:tcW w:w="4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0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r>
      <w:tr>
        <w:trPr/>
        <w:tc>
          <w:tcPr>
            <w:tcW w:w="4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Securities to be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r>
      <w:tr>
        <w:trPr/>
        <w:tc>
          <w:tcPr>
            <w:tcW w:w="4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Issued Upon</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4"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Exercise Price of</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4"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Remaining Available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r>
      <w:tr>
        <w:trPr/>
        <w:tc>
          <w:tcPr>
            <w:tcW w:w="4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Exercise of</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4"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4"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for Future Issuance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r>
      <w:tr>
        <w:trPr/>
        <w:tc>
          <w:tcPr>
            <w:tcW w:w="4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Outstanding</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4"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Options,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4"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Under Equity</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r>
      <w:tr>
        <w:trPr/>
        <w:tc>
          <w:tcPr>
            <w:tcW w:w="4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Options, Warrants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4"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Warrants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4"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Compensation</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r>
      <w:tr>
        <w:trPr/>
        <w:tc>
          <w:tcPr>
            <w:tcW w:w="4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and Rights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and Rights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Times;serif" w:hAnsi="Times New Roman;Times;serif"/>
                <w:b/>
                <w:caps w:val="false"/>
                <w:smallCaps w:val="false"/>
                <w:sz w:val="20"/>
              </w:rPr>
              <w:t>Plans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center"/>
              <w:rPr/>
            </w:pPr>
            <w:r>
              <w:rPr/>
              <w:t> </w:t>
            </w:r>
          </w:p>
        </w:tc>
      </w:tr>
      <w:tr>
        <w:trPr/>
        <w:tc>
          <w:tcPr>
            <w:tcW w:w="43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stockholders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4,164,236</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580,039</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43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stockholders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r>
      <w:tr>
        <w:trPr/>
        <w:tc>
          <w:tcPr>
            <w:tcW w:w="43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4,164,236</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580,039</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4"/>
        <w:gridCol w:w="9901"/>
      </w:tblGrid>
      <w:tr>
        <w:trPr/>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outstanding stock options and awards for 229,444 shares of our common stock under the 2008 Plan and 3,934,792</w:t>
            </w:r>
          </w:p>
          <w:p>
            <w:pPr>
              <w:pStyle w:val="TableContents"/>
              <w:bidi w:val="0"/>
              <w:spacing w:before="0" w:after="0"/>
              <w:ind w:left="0" w:right="0" w:hanging="0"/>
              <w:jc w:val="both"/>
              <w:rPr/>
            </w:pPr>
            <w:r>
              <w:rPr/>
              <w:t> </w:t>
            </w:r>
            <w:r>
              <w:rPr>
                <w:rFonts w:ascii="Times New Roman;Times;serif" w:hAnsi="Times New Roman;Times;serif"/>
                <w:sz w:val="20"/>
              </w:rPr>
              <w:t>shares of our common stock under the 2018 Plan.</w:t>
            </w:r>
          </w:p>
        </w:tc>
      </w:tr>
    </w:tbl>
    <w:tbl>
      <w:tblPr>
        <w:tblW w:w="10205" w:type="dxa"/>
        <w:jc w:val="left"/>
        <w:tblInd w:w="0" w:type="dxa"/>
        <w:tblLayout w:type="fixed"/>
        <w:tblCellMar>
          <w:top w:w="0" w:type="dxa"/>
          <w:left w:w="0" w:type="dxa"/>
          <w:bottom w:w="0" w:type="dxa"/>
          <w:right w:w="0" w:type="dxa"/>
        </w:tblCellMar>
      </w:tblPr>
      <w:tblGrid>
        <w:gridCol w:w="60"/>
        <w:gridCol w:w="240"/>
        <w:gridCol w:w="9905"/>
      </w:tblGrid>
      <w:tr>
        <w:trPr/>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the weighted average stock price for outstanding stock options of $5.60 under the 2008 Plan and $15.54 for the 2018 Plan.</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522,022 shares of our common stock for the 2018 Plan and 58,017 for the Employee Stock Purchase Plan. No future awards shall occur under the 2008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28" w:name="item13"/>
      <w:bookmarkEnd w:id="28"/>
      <w:r>
        <w:rPr>
          <w:rFonts w:ascii="Times New Roman" w:hAnsi="Times New Roman"/>
          <w:b/>
          <w:caps w:val="false"/>
          <w:smallCaps w:val="false"/>
          <w:sz w:val="20"/>
        </w:rPr>
        <w:t>Item 13.</w:t>
      </w:r>
      <w:r>
        <w:rPr>
          <w:rFonts w:ascii="Times New Roman" w:hAnsi="Times New Roman"/>
          <w:caps w:val="false"/>
          <w:smallCaps w:val="false"/>
          <w:sz w:val="20"/>
        </w:rPr>
        <w:t>    </w:t>
      </w:r>
      <w:r>
        <w:rPr>
          <w:rFonts w:ascii="Times New Roman" w:hAnsi="Times New Roman"/>
          <w:b/>
          <w:i/>
          <w:caps w:val="false"/>
          <w:smallCaps w:val="false"/>
          <w:sz w:val="20"/>
        </w:rPr>
        <w:t>Certain Relationships and Related Transactions and Director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by reference from our definitive Proxy Statement referred to in Item 10 above where it appears under the heading “Certain Relationships and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9" w:name="itme14"/>
      <w:bookmarkEnd w:id="29"/>
      <w:r>
        <w:rPr>
          <w:rFonts w:ascii="Times New Roman" w:hAnsi="Times New Roman"/>
          <w:b/>
          <w:caps w:val="false"/>
          <w:smallCaps w:val="false"/>
          <w:sz w:val="20"/>
        </w:rPr>
        <w:t>Item 14.</w:t>
      </w:r>
      <w:r>
        <w:rPr>
          <w:rFonts w:ascii="Times New Roman" w:hAnsi="Times New Roman"/>
          <w:caps w:val="false"/>
          <w:smallCaps w:val="false"/>
          <w:sz w:val="20"/>
        </w:rPr>
        <w:t>    </w:t>
      </w:r>
      <w:r>
        <w:rPr>
          <w:rFonts w:ascii="Times New Roman" w:hAnsi="Times New Roman"/>
          <w:b/>
          <w:i/>
          <w:caps w:val="false"/>
          <w:smallCaps w:val="false"/>
          <w:sz w:val="20"/>
        </w:rPr>
        <w:t>Principal Accountant Fees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is incorporated by reference from our definitive Proxy Statement referred to in Item 10 above where it appears under the heading “Principal Accountant Fees and Services.”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IV</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30" w:name="item15"/>
      <w:bookmarkEnd w:id="30"/>
      <w:r>
        <w:rPr>
          <w:rFonts w:ascii="Times New Roman" w:hAnsi="Times New Roman"/>
          <w:b/>
          <w:caps w:val="false"/>
          <w:smallCaps w:val="false"/>
          <w:sz w:val="20"/>
        </w:rPr>
        <w:t>Item 15.</w:t>
      </w:r>
      <w:r>
        <w:rPr>
          <w:rFonts w:ascii="Times New Roman" w:hAnsi="Times New Roman"/>
          <w:caps w:val="false"/>
          <w:smallCaps w:val="false"/>
          <w:sz w:val="20"/>
        </w:rPr>
        <w:t>    </w:t>
      </w:r>
      <w:r>
        <w:rPr>
          <w:rFonts w:ascii="Times New Roman" w:hAnsi="Times New Roman"/>
          <w:b/>
          <w:i/>
          <w:caps w:val="false"/>
          <w:smallCaps w:val="false"/>
          <w:sz w:val="20"/>
        </w:rPr>
        <w:t>Exhibits and Financial Statement Schedules</w:t>
      </w:r>
    </w:p>
    <w:p>
      <w:pPr>
        <w:pStyle w:val="TextBody"/>
        <w:bidi w:val="0"/>
        <w:spacing w:before="0" w:after="0"/>
        <w:ind w:left="320" w:right="0" w:hanging="320"/>
        <w:jc w:val="both"/>
        <w:rPr>
          <w:caps w:val="false"/>
          <w:smallCaps w:val="false"/>
        </w:rPr>
      </w:pPr>
      <w:r>
        <w:rPr>
          <w:caps w:val="false"/>
          <w:smallCaps w:val="false"/>
        </w:rPr>
        <w:t> </w:t>
      </w:r>
    </w:p>
    <w:p>
      <w:pPr>
        <w:pStyle w:val="TextBody"/>
        <w:bidi w:val="0"/>
        <w:spacing w:before="0" w:after="0"/>
        <w:ind w:left="320" w:right="0" w:hanging="320"/>
        <w:jc w:val="both"/>
        <w:rPr>
          <w:rFonts w:ascii="Times New Roman" w:hAnsi="Times New Roman"/>
          <w:caps w:val="false"/>
          <w:smallCaps w:val="false"/>
          <w:sz w:val="20"/>
        </w:rPr>
      </w:pPr>
      <w:r>
        <w:rPr>
          <w:rFonts w:ascii="Times New Roman" w:hAnsi="Times New Roman"/>
          <w:caps w:val="false"/>
          <w:smallCaps w:val="false"/>
          <w:sz w:val="20"/>
        </w:rPr>
        <w:t>(a) The following documents are filed as part of this Form 10-K:</w:t>
      </w:r>
    </w:p>
    <w:tbl>
      <w:tblPr>
        <w:tblW w:w="6100" w:type="dxa"/>
        <w:jc w:val="left"/>
        <w:tblInd w:w="0" w:type="dxa"/>
        <w:tblLayout w:type="fixed"/>
        <w:tblCellMar>
          <w:top w:w="0" w:type="dxa"/>
          <w:left w:w="0" w:type="dxa"/>
          <w:bottom w:w="0" w:type="dxa"/>
          <w:right w:w="0" w:type="dxa"/>
        </w:tblCellMar>
      </w:tblPr>
      <w:tblGrid>
        <w:gridCol w:w="60"/>
        <w:gridCol w:w="290"/>
        <w:gridCol w:w="575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(1) </w:t>
            </w:r>
          </w:p>
        </w:tc>
        <w:tc>
          <w:tcPr>
            <w:tcW w:w="575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Consolidated Financial Statements (included in Part II of this report):</w:t>
            </w:r>
          </w:p>
        </w:tc>
      </w:tr>
    </w:tbl>
    <w:tbl>
      <w:tblPr>
        <w:tblW w:w="4880" w:type="dxa"/>
        <w:jc w:val="left"/>
        <w:tblInd w:w="0" w:type="dxa"/>
        <w:tblLayout w:type="fixed"/>
        <w:tblCellMar>
          <w:top w:w="0" w:type="dxa"/>
          <w:left w:w="0" w:type="dxa"/>
          <w:bottom w:w="0" w:type="dxa"/>
          <w:right w:w="0" w:type="dxa"/>
        </w:tblCellMar>
      </w:tblPr>
      <w:tblGrid>
        <w:gridCol w:w="60"/>
        <w:gridCol w:w="60"/>
        <w:gridCol w:w="47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47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Report of Independent Registered Public Accounting Firm</w:t>
            </w:r>
          </w:p>
        </w:tc>
      </w:tr>
    </w:tbl>
    <w:tbl>
      <w:tblPr>
        <w:tblW w:w="2510" w:type="dxa"/>
        <w:jc w:val="left"/>
        <w:tblInd w:w="0" w:type="dxa"/>
        <w:tblLayout w:type="fixed"/>
        <w:tblCellMar>
          <w:top w:w="0" w:type="dxa"/>
          <w:left w:w="0" w:type="dxa"/>
          <w:bottom w:w="0" w:type="dxa"/>
          <w:right w:w="0" w:type="dxa"/>
        </w:tblCellMar>
      </w:tblPr>
      <w:tblGrid>
        <w:gridCol w:w="60"/>
        <w:gridCol w:w="60"/>
        <w:gridCol w:w="239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23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Balance Sheets</w:t>
            </w:r>
          </w:p>
        </w:tc>
      </w:tr>
    </w:tbl>
    <w:tbl>
      <w:tblPr>
        <w:tblW w:w="3305" w:type="dxa"/>
        <w:jc w:val="left"/>
        <w:tblInd w:w="0" w:type="dxa"/>
        <w:tblLayout w:type="fixed"/>
        <w:tblCellMar>
          <w:top w:w="0" w:type="dxa"/>
          <w:left w:w="0" w:type="dxa"/>
          <w:bottom w:w="0" w:type="dxa"/>
          <w:right w:w="0" w:type="dxa"/>
        </w:tblCellMar>
      </w:tblPr>
      <w:tblGrid>
        <w:gridCol w:w="60"/>
        <w:gridCol w:w="60"/>
        <w:gridCol w:w="31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31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Statements of Operations</w:t>
            </w:r>
          </w:p>
        </w:tc>
      </w:tr>
    </w:tbl>
    <w:tbl>
      <w:tblPr>
        <w:tblW w:w="4115" w:type="dxa"/>
        <w:jc w:val="left"/>
        <w:tblInd w:w="0" w:type="dxa"/>
        <w:tblLayout w:type="fixed"/>
        <w:tblCellMar>
          <w:top w:w="0" w:type="dxa"/>
          <w:left w:w="0" w:type="dxa"/>
          <w:bottom w:w="0" w:type="dxa"/>
          <w:right w:w="0" w:type="dxa"/>
        </w:tblCellMar>
      </w:tblPr>
      <w:tblGrid>
        <w:gridCol w:w="60"/>
        <w:gridCol w:w="60"/>
        <w:gridCol w:w="399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39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Statements of Stockholders' Equity</w:t>
            </w:r>
          </w:p>
        </w:tc>
      </w:tr>
    </w:tbl>
    <w:tbl>
      <w:tblPr>
        <w:tblW w:w="3350" w:type="dxa"/>
        <w:jc w:val="left"/>
        <w:tblInd w:w="0" w:type="dxa"/>
        <w:tblLayout w:type="fixed"/>
        <w:tblCellMar>
          <w:top w:w="0" w:type="dxa"/>
          <w:left w:w="0" w:type="dxa"/>
          <w:bottom w:w="0" w:type="dxa"/>
          <w:right w:w="0" w:type="dxa"/>
        </w:tblCellMar>
      </w:tblPr>
      <w:tblGrid>
        <w:gridCol w:w="60"/>
        <w:gridCol w:w="60"/>
        <w:gridCol w:w="323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3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Consolidated Statements of Cash Flows</w:t>
            </w:r>
          </w:p>
        </w:tc>
      </w:tr>
    </w:tbl>
    <w:tbl>
      <w:tblPr>
        <w:tblW w:w="3695" w:type="dxa"/>
        <w:jc w:val="left"/>
        <w:tblInd w:w="0" w:type="dxa"/>
        <w:tblLayout w:type="fixed"/>
        <w:tblCellMar>
          <w:top w:w="0" w:type="dxa"/>
          <w:left w:w="0" w:type="dxa"/>
          <w:bottom w:w="0" w:type="dxa"/>
          <w:right w:w="0" w:type="dxa"/>
        </w:tblCellMar>
      </w:tblPr>
      <w:tblGrid>
        <w:gridCol w:w="60"/>
        <w:gridCol w:w="60"/>
        <w:gridCol w:w="357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35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Notes to Consolidated Financial Statements</w:t>
            </w:r>
          </w:p>
        </w:tc>
      </w:tr>
    </w:tbl>
    <w:tbl>
      <w:tblPr>
        <w:tblW w:w="4120" w:type="dxa"/>
        <w:jc w:val="left"/>
        <w:tblInd w:w="0" w:type="dxa"/>
        <w:tblLayout w:type="fixed"/>
        <w:tblCellMar>
          <w:top w:w="0" w:type="dxa"/>
          <w:left w:w="0" w:type="dxa"/>
          <w:bottom w:w="0" w:type="dxa"/>
          <w:right w:w="0" w:type="dxa"/>
        </w:tblCellMar>
      </w:tblPr>
      <w:tblGrid>
        <w:gridCol w:w="60"/>
        <w:gridCol w:w="290"/>
        <w:gridCol w:w="377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(2) </w:t>
            </w:r>
          </w:p>
        </w:tc>
        <w:tc>
          <w:tcPr>
            <w:tcW w:w="3770"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Consolidated Financial Statement Schedules:</w:t>
            </w:r>
          </w:p>
        </w:tc>
      </w:tr>
    </w:tbl>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consolidated financial statement schedules are omitted because the information is inapplicable or presented in the notes to the consolidated financial statements.</w:t>
            </w:r>
          </w:p>
        </w:tc>
      </w:tr>
    </w:tbl>
    <w:tbl>
      <w:tblPr>
        <w:tblW w:w="5620" w:type="dxa"/>
        <w:jc w:val="left"/>
        <w:tblInd w:w="0" w:type="dxa"/>
        <w:tblLayout w:type="fixed"/>
        <w:tblCellMar>
          <w:top w:w="0" w:type="dxa"/>
          <w:left w:w="0" w:type="dxa"/>
          <w:bottom w:w="0" w:type="dxa"/>
          <w:right w:w="0" w:type="dxa"/>
        </w:tblCellMar>
      </w:tblPr>
      <w:tblGrid>
        <w:gridCol w:w="60"/>
        <w:gridCol w:w="245"/>
        <w:gridCol w:w="53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53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Management Contracts, Compensatory Plans and Arrangements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contracts, compensatory plans and arrangements are indicated by the symbol “*” in the applicable exhibits listed in Item 15(b), below.</w:t>
            </w:r>
          </w:p>
        </w:tc>
      </w:tr>
    </w:tbl>
    <w:p>
      <w:pPr>
        <w:pStyle w:val="TextBody"/>
        <w:bidi w:val="0"/>
        <w:spacing w:before="0" w:after="0"/>
        <w:ind w:left="320" w:right="0" w:hanging="3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320" w:right="0" w:hanging="3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i/>
          <w:caps w:val="false"/>
          <w:smallCaps w:val="false"/>
          <w:sz w:val="20"/>
        </w:rPr>
        <w:t xml:space="preserve">Exhibits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exhibits listed below are filed as part of this Form 10-K other than Exhibit 32.1, which shall be deemed furnished.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0"/>
        <w:gridCol w:w="60"/>
        <w:gridCol w:w="6055"/>
        <w:gridCol w:w="60"/>
        <w:gridCol w:w="590"/>
        <w:gridCol w:w="60"/>
        <w:gridCol w:w="754"/>
        <w:gridCol w:w="60"/>
        <w:gridCol w:w="770"/>
        <w:gridCol w:w="60"/>
        <w:gridCol w:w="966"/>
      </w:tblGrid>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bottom w:val="single" w:sz="2" w:space="0" w:color="000000"/>
            </w:tcBorders>
            <w:tcMar>
              <w:bottom w:w="28" w:type="dxa"/>
            </w:tcMar>
            <w:vAlign w:val="center"/>
          </w:tcPr>
          <w:p>
            <w:pPr>
              <w:pStyle w:val="TableContents"/>
              <w:bidi w:val="0"/>
              <w:spacing w:before="0" w:after="283"/>
              <w:jc w:val="center"/>
              <w:rPr/>
            </w:pPr>
            <w:r>
              <w:rPr>
                <w:b/>
              </w:rPr>
              <w:t>Exhibit</w:t>
            </w:r>
            <w:r>
              <w:rPr/>
              <w:br/>
              <w:t>‎</w:t>
            </w:r>
            <w:r>
              <w:rPr>
                <w:b/>
              </w:rPr>
              <w:t>No.</w:t>
            </w:r>
          </w:p>
        </w:tc>
        <w:tc>
          <w:tcPr>
            <w:tcW w:w="60" w:type="dxa"/>
            <w:tcBorders/>
            <w:vAlign w:val="center"/>
          </w:tcPr>
          <w:p>
            <w:pPr>
              <w:pStyle w:val="TableContents"/>
              <w:bidi w:val="0"/>
              <w:spacing w:before="0" w:after="283"/>
              <w:jc w:val="left"/>
              <w:rPr/>
            </w:pPr>
            <w:r>
              <w:rPr/>
              <w:t> </w:t>
            </w:r>
          </w:p>
        </w:tc>
        <w:tc>
          <w:tcPr>
            <w:tcW w:w="6055" w:type="dxa"/>
            <w:tcBorders>
              <w:bottom w:val="single" w:sz="2" w:space="0" w:color="000000"/>
            </w:tcBorders>
            <w:tcMar>
              <w:bottom w:w="28" w:type="dxa"/>
            </w:tcMar>
            <w:vAlign w:val="center"/>
          </w:tcPr>
          <w:p>
            <w:pPr>
              <w:pStyle w:val="TableContents"/>
              <w:bidi w:val="0"/>
              <w:spacing w:before="0" w:after="283"/>
              <w:jc w:val="left"/>
              <w:rPr>
                <w:b/>
              </w:rPr>
            </w:pPr>
            <w:r>
              <w:rPr>
                <w:b/>
              </w:rPr>
              <w:t>Description</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Form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4" w:type="dxa"/>
            <w:tcBorders>
              <w:bottom w:val="single" w:sz="2" w:space="0" w:color="000000"/>
            </w:tcBorders>
            <w:tcMar>
              <w:bottom w:w="28" w:type="dxa"/>
            </w:tcMar>
            <w:vAlign w:val="center"/>
          </w:tcPr>
          <w:p>
            <w:pPr>
              <w:pStyle w:val="TableContents"/>
              <w:bidi w:val="0"/>
              <w:spacing w:before="0" w:after="283"/>
              <w:jc w:val="center"/>
              <w:rPr/>
            </w:pPr>
            <w:r>
              <w:rPr>
                <w:b/>
              </w:rPr>
              <w:t>Filing</w:t>
            </w:r>
            <w:r>
              <w:rPr/>
              <w:br/>
              <w:t>‎</w:t>
            </w:r>
            <w:r>
              <w:rPr>
                <w:b/>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tcMar>
              <w:bottom w:w="28" w:type="dxa"/>
            </w:tcMar>
            <w:vAlign w:val="center"/>
          </w:tcPr>
          <w:p>
            <w:pPr>
              <w:pStyle w:val="TableContents"/>
              <w:bidi w:val="0"/>
              <w:spacing w:before="0" w:after="283"/>
              <w:jc w:val="center"/>
              <w:rPr/>
            </w:pPr>
            <w:r>
              <w:rPr>
                <w:b/>
              </w:rPr>
              <w:t>Exhibit</w:t>
            </w:r>
            <w:r>
              <w:rPr/>
              <w:br/>
              <w:t>‎</w:t>
            </w:r>
            <w:r>
              <w:rPr>
                <w:b/>
              </w:rPr>
              <w:t>No.</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66" w:type="dxa"/>
            <w:tcBorders>
              <w:bottom w:val="single" w:sz="2" w:space="0" w:color="000000"/>
            </w:tcBorders>
            <w:tcMar>
              <w:bottom w:w="28" w:type="dxa"/>
            </w:tcMar>
            <w:vAlign w:val="center"/>
          </w:tcPr>
          <w:p>
            <w:pPr>
              <w:pStyle w:val="TableContents"/>
              <w:bidi w:val="0"/>
              <w:spacing w:before="0" w:after="283"/>
              <w:jc w:val="center"/>
              <w:rPr/>
            </w:pPr>
            <w:r>
              <w:rPr>
                <w:b/>
              </w:rPr>
              <w:t>Filed</w:t>
            </w:r>
            <w:r>
              <w:rPr/>
              <w:br/>
              <w:t>‎</w:t>
            </w:r>
            <w:r>
              <w:rPr>
                <w:b/>
              </w:rPr>
              <w:t>Herewith</w:t>
            </w:r>
          </w:p>
        </w:tc>
      </w:tr>
      <w:tr>
        <w:trPr/>
        <w:tc>
          <w:tcPr>
            <w:tcW w:w="770" w:type="dxa"/>
            <w:tcBorders/>
            <w:vAlign w:val="center"/>
          </w:tcPr>
          <w:p>
            <w:pPr>
              <w:pStyle w:val="TableContents"/>
              <w:bidi w:val="0"/>
              <w:spacing w:before="0" w:after="0"/>
              <w:ind w:left="0" w:right="0" w:hanging="0"/>
              <w:jc w:val="center"/>
              <w:rPr/>
            </w:pPr>
            <w:hyperlink r:id="rId2">
              <w:r>
                <w:rPr>
                  <w:rStyle w:val="InternetLink"/>
                  <w:rFonts w:ascii="Times New Roman" w:hAnsi="Times New Roman"/>
                  <w:caps w:val="false"/>
                  <w:smallCaps w:val="false"/>
                  <w:sz w:val="20"/>
                  <w:u w:val="single"/>
                </w:rPr>
                <w:t>3.1</w:t>
              </w:r>
            </w:hyperlink>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u w:val="single"/>
                </w:rPr>
                <w:t>Amended and Restated Certificate of Incorporation.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7/29/2005</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r:id="rId4">
              <w:r>
                <w:rPr>
                  <w:rStyle w:val="InternetLink"/>
                  <w:rFonts w:ascii="Times New Roman" w:hAnsi="Times New Roman"/>
                  <w:caps w:val="false"/>
                  <w:smallCaps w:val="false"/>
                  <w:sz w:val="20"/>
                  <w:u w:val="single"/>
                </w:rPr>
                <w:t>3.2</w:t>
              </w:r>
            </w:hyperlink>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0"/>
              <w:ind w:left="0" w:right="0" w:hanging="0"/>
              <w:jc w:val="both"/>
              <w:rPr/>
            </w:pPr>
            <w:hyperlink r:id="rId5">
              <w:r>
                <w:rPr>
                  <w:rStyle w:val="InternetLink"/>
                  <w:rFonts w:ascii="Times New Roman" w:hAnsi="Times New Roman"/>
                  <w:caps w:val="false"/>
                  <w:smallCaps w:val="false"/>
                  <w:sz w:val="20"/>
                  <w:u w:val="single"/>
                </w:rPr>
                <w:t>Certificate of Amendment of Restated Certificate of Incorporation.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5/8/2017</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r:id="rId6">
              <w:r>
                <w:rPr>
                  <w:rStyle w:val="InternetLink"/>
                  <w:rFonts w:ascii="Times New Roman" w:hAnsi="Times New Roman"/>
                  <w:caps w:val="false"/>
                  <w:smallCaps w:val="false"/>
                  <w:sz w:val="20"/>
                  <w:u w:val="single"/>
                </w:rPr>
                <w:t>3.3</w:t>
              </w:r>
            </w:hyperlink>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u w:val="single"/>
                </w:rPr>
                <w:t>Certificate of Amendment of Restated Certificate of Incorporation.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3/29/2019</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center"/>
              <w:rPr/>
            </w:pPr>
            <w:hyperlink r:id="rId8">
              <w:r>
                <w:rPr>
                  <w:rStyle w:val="InternetLink"/>
                </w:rPr>
                <w:t>3.4</w:t>
              </w:r>
            </w:hyperlink>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283"/>
              <w:jc w:val="left"/>
              <w:rPr/>
            </w:pPr>
            <w:hyperlink r:id="rId9">
              <w:r>
                <w:rPr>
                  <w:rStyle w:val="InternetLink"/>
                </w:rPr>
                <w:t>Certificate of Amendment of Restated Certificate of Incorporation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3/10/2026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3.3</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center"/>
              <w:rPr/>
            </w:pPr>
            <w:hyperlink r:id="rId10">
              <w:r>
                <w:rPr>
                  <w:rStyle w:val="InternetLink"/>
                </w:rPr>
                <w:t>3.5</w:t>
              </w:r>
            </w:hyperlink>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283"/>
              <w:jc w:val="left"/>
              <w:rPr/>
            </w:pPr>
            <w:hyperlink r:id="rId11">
              <w:r>
                <w:rPr>
                  <w:rStyle w:val="InternetLink"/>
                </w:rPr>
                <w:t>Amended and Restated Bylaws of Filana Therapeutics, Inc.</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3/10/2026</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3.4</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r:id="rId12">
              <w:r>
                <w:rPr>
                  <w:rStyle w:val="InternetLink"/>
                  <w:rFonts w:ascii="Times New Roman" w:hAnsi="Times New Roman"/>
                  <w:caps w:val="false"/>
                  <w:smallCaps w:val="false"/>
                  <w:sz w:val="20"/>
                  <w:u w:val="single"/>
                </w:rPr>
                <w:t>4.1</w:t>
              </w:r>
            </w:hyperlink>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u w:val="single"/>
                </w:rPr>
                <w:t>Specimen Common Stock Certificate.</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8/12/2019</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w:anchor="ex_895112.htm">
              <w:r>
                <w:rPr>
                  <w:rStyle w:val="InternetLink"/>
                  <w:rFonts w:ascii="Times New Roman" w:hAnsi="Times New Roman"/>
                  <w:caps w:val="false"/>
                  <w:smallCaps w:val="false"/>
                  <w:sz w:val="20"/>
                  <w:u w:val="single"/>
                </w:rPr>
                <w:t>4.2</w:t>
              </w:r>
            </w:hyperlink>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0"/>
              <w:ind w:left="0" w:right="0" w:hanging="0"/>
              <w:jc w:val="both"/>
              <w:rPr/>
            </w:pPr>
            <w:hyperlink w:anchor="ex_895112.htm">
              <w:r>
                <w:rPr>
                  <w:rStyle w:val="InternetLink"/>
                  <w:rFonts w:ascii="Times New Roman" w:hAnsi="Times New Roman"/>
                  <w:caps w:val="false"/>
                  <w:smallCaps w:val="false"/>
                  <w:sz w:val="20"/>
                  <w:u w:val="single"/>
                </w:rPr>
                <w:t>Description of Registrant’s Securities.</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center"/>
              <w:rPr/>
            </w:pPr>
            <w:r>
              <w:rPr/>
              <w:t>X</w:t>
            </w:r>
          </w:p>
        </w:tc>
      </w:tr>
      <w:tr>
        <w:trPr/>
        <w:tc>
          <w:tcPr>
            <w:tcW w:w="770" w:type="dxa"/>
            <w:tcBorders/>
            <w:vAlign w:val="center"/>
          </w:tcPr>
          <w:p>
            <w:pPr>
              <w:pStyle w:val="TableContents"/>
              <w:bidi w:val="0"/>
              <w:spacing w:before="0" w:after="0"/>
              <w:ind w:left="0" w:right="0" w:hanging="0"/>
              <w:jc w:val="center"/>
              <w:rPr/>
            </w:pPr>
            <w:hyperlink r:id="rId14">
              <w:r>
                <w:rPr>
                  <w:rStyle w:val="InternetLink"/>
                  <w:rFonts w:ascii="Times New Roman" w:hAnsi="Times New Roman"/>
                  <w:caps w:val="false"/>
                  <w:smallCaps w:val="false"/>
                  <w:sz w:val="20"/>
                  <w:u w:val="single"/>
                </w:rPr>
                <w:t>10.1</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u w:val="single"/>
                </w:rPr>
                <w:t>Form of Indemnification Agreement between Registrant and each of its directors and officers.</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3/1/2022</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r:id="rId16">
              <w:r>
                <w:rPr>
                  <w:rStyle w:val="InternetLink"/>
                  <w:rFonts w:ascii="Times New Roman" w:hAnsi="Times New Roman"/>
                  <w:caps w:val="false"/>
                  <w:smallCaps w:val="false"/>
                  <w:sz w:val="20"/>
                  <w:u w:val="single"/>
                </w:rPr>
                <w:t>10.6</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55" w:type="dxa"/>
            <w:tcBorders/>
            <w:vAlign w:val="center"/>
          </w:tcPr>
          <w:p>
            <w:pPr>
              <w:pStyle w:val="TableContents"/>
              <w:bidi w:val="0"/>
              <w:spacing w:before="0" w:after="0"/>
              <w:ind w:left="0" w:right="0" w:hanging="0"/>
              <w:jc w:val="both"/>
              <w:rPr/>
            </w:pPr>
            <w:hyperlink r:id="rId17">
              <w:r>
                <w:rPr>
                  <w:rStyle w:val="InternetLink"/>
                  <w:rFonts w:ascii="Times New Roman" w:hAnsi="Times New Roman"/>
                  <w:caps w:val="false"/>
                  <w:smallCaps w:val="false"/>
                  <w:sz w:val="20"/>
                  <w:u w:val="single"/>
                </w:rPr>
                <w:t>2000 Employee Stock Purchase Plan, as amended and restated.</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7/29/2010</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r:id="rId18">
              <w:r>
                <w:rPr>
                  <w:rStyle w:val="InternetLink"/>
                  <w:rFonts w:ascii="Times New Roman" w:hAnsi="Times New Roman"/>
                  <w:caps w:val="false"/>
                  <w:smallCaps w:val="false"/>
                  <w:sz w:val="20"/>
                  <w:u w:val="single"/>
                </w:rPr>
                <w:t>10.7</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55" w:type="dxa"/>
            <w:tcBorders/>
            <w:vAlign w:val="center"/>
          </w:tcPr>
          <w:p>
            <w:pPr>
              <w:pStyle w:val="TableContents"/>
              <w:bidi w:val="0"/>
              <w:spacing w:before="0" w:after="0"/>
              <w:ind w:left="0" w:right="0" w:hanging="0"/>
              <w:jc w:val="both"/>
              <w:rPr/>
            </w:pPr>
            <w:hyperlink r:id="rId19">
              <w:r>
                <w:rPr>
                  <w:rStyle w:val="InternetLink"/>
                  <w:rFonts w:ascii="Times New Roman" w:hAnsi="Times New Roman"/>
                  <w:caps w:val="false"/>
                  <w:smallCaps w:val="false"/>
                  <w:sz w:val="20"/>
                  <w:u w:val="single"/>
                </w:rPr>
                <w:t>2008 Equity Incentive Plan.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5/29/2008</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r:id="rId20">
              <w:r>
                <w:rPr>
                  <w:rStyle w:val="InternetLink"/>
                  <w:rFonts w:ascii="Times New Roman" w:hAnsi="Times New Roman"/>
                  <w:caps w:val="false"/>
                  <w:smallCaps w:val="false"/>
                  <w:sz w:val="20"/>
                  <w:u w:val="single"/>
                </w:rPr>
                <w:t>10.8</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55" w:type="dxa"/>
            <w:tcBorders/>
            <w:vAlign w:val="center"/>
          </w:tcPr>
          <w:p>
            <w:pPr>
              <w:pStyle w:val="TableContents"/>
              <w:bidi w:val="0"/>
              <w:spacing w:before="0" w:after="0"/>
              <w:ind w:left="0" w:right="0" w:hanging="0"/>
              <w:jc w:val="both"/>
              <w:rPr/>
            </w:pPr>
            <w:hyperlink r:id="rId21">
              <w:r>
                <w:rPr>
                  <w:rStyle w:val="InternetLink"/>
                  <w:rFonts w:ascii="Times New Roman" w:hAnsi="Times New Roman"/>
                  <w:caps w:val="false"/>
                  <w:smallCaps w:val="false"/>
                  <w:sz w:val="20"/>
                  <w:u w:val="single"/>
                </w:rPr>
                <w:t>Amendment Number 1 to the 2008 Equity Incentive Plan.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8/1/2013</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r:id="rId22">
              <w:r>
                <w:rPr>
                  <w:rStyle w:val="InternetLink"/>
                  <w:rFonts w:ascii="Times New Roman" w:hAnsi="Times New Roman"/>
                  <w:caps w:val="false"/>
                  <w:smallCaps w:val="false"/>
                  <w:sz w:val="20"/>
                  <w:u w:val="single"/>
                </w:rPr>
                <w:t>10.10</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55" w:type="dxa"/>
            <w:tcBorders/>
            <w:vAlign w:val="center"/>
          </w:tcPr>
          <w:p>
            <w:pPr>
              <w:pStyle w:val="TableContents"/>
              <w:bidi w:val="0"/>
              <w:spacing w:before="0" w:after="0"/>
              <w:ind w:left="0" w:right="0" w:hanging="0"/>
              <w:jc w:val="both"/>
              <w:rPr/>
            </w:pPr>
            <w:hyperlink r:id="rId23">
              <w:r>
                <w:rPr>
                  <w:rStyle w:val="InternetLink"/>
                  <w:rFonts w:ascii="Times New Roman" w:hAnsi="Times New Roman"/>
                  <w:caps w:val="false"/>
                  <w:smallCaps w:val="false"/>
                  <w:sz w:val="20"/>
                  <w:u w:val="single"/>
                </w:rPr>
                <w:t>2018 Omnibus Incentive Plan.</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5/11/2018</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w:anchor="ex_916607.htm">
              <w:r>
                <w:rPr>
                  <w:rStyle w:val="InternetLink"/>
                  <w:rFonts w:ascii="Times New Roman" w:hAnsi="Times New Roman"/>
                  <w:caps w:val="false"/>
                  <w:smallCaps w:val="false"/>
                  <w:sz w:val="20"/>
                </w:rPr>
                <w:t>10.11</w:t>
              </w:r>
            </w:hyperlink>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lineRule="auto" w:line="288" w:before="0" w:after="283"/>
              <w:jc w:val="both"/>
              <w:rPr/>
            </w:pPr>
            <w:hyperlink w:anchor="ex_916607.htm">
              <w:r>
                <w:rPr>
                  <w:rStyle w:val="InternetLink"/>
                </w:rPr>
                <w:t>Controlled Equity Offering</w:t>
              </w:r>
            </w:hyperlink>
            <w:hyperlink w:anchor="ex_916607.htm">
              <w:r>
                <w:rPr>
                  <w:rStyle w:val="InternetLink"/>
                  <w:u w:val="single"/>
                </w:rPr>
                <w:t>SM Sales Agreement, dated as of November 12, 2025, between Registrant and C</w:t>
              </w:r>
            </w:hyperlink>
            <w:hyperlink w:anchor="ex_916607.htm">
              <w:r>
                <w:rPr>
                  <w:rStyle w:val="InternetLink"/>
                </w:rPr>
                <w:t>antor Fitzgerald and Co.</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ind w:left="0" w:right="0" w:hanging="0"/>
              <w:jc w:val="center"/>
              <w:rPr/>
            </w:pPr>
            <w:r>
              <w:rPr/>
              <w:t>X</w:t>
            </w:r>
          </w:p>
        </w:tc>
      </w:tr>
      <w:tr>
        <w:trPr/>
        <w:tc>
          <w:tcPr>
            <w:tcW w:w="770" w:type="dxa"/>
            <w:tcBorders/>
            <w:vAlign w:val="center"/>
          </w:tcPr>
          <w:p>
            <w:pPr>
              <w:pStyle w:val="TableContents"/>
              <w:bidi w:val="0"/>
              <w:spacing w:before="0" w:after="283"/>
              <w:jc w:val="center"/>
              <w:rPr/>
            </w:pPr>
            <w:hyperlink r:id="rId24">
              <w:r>
                <w:rPr>
                  <w:rStyle w:val="InternetLink"/>
                </w:rPr>
                <w:t>10.12</w:t>
              </w:r>
            </w:hyperlink>
            <w:r>
              <w:rPr/>
              <w:t>*</w:t>
            </w:r>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283"/>
              <w:jc w:val="left"/>
              <w:rPr/>
            </w:pPr>
            <w:hyperlink r:id="rId25">
              <w:r>
                <w:rPr>
                  <w:rStyle w:val="InternetLink"/>
                </w:rPr>
                <w:t>Cassava Sciences, Inc. 2020 Cash Incentive Bonus Plan (As Amended March 16, 2023)</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10-Q</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8/3/2023</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r:id="rId26">
              <w:r>
                <w:rPr>
                  <w:rStyle w:val="InternetLink"/>
                  <w:rFonts w:ascii="Times New Roman" w:hAnsi="Times New Roman"/>
                  <w:caps w:val="false"/>
                  <w:smallCaps w:val="false"/>
                  <w:sz w:val="20"/>
                  <w:u w:val="single"/>
                </w:rPr>
                <w:t>10.13</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55" w:type="dxa"/>
            <w:tcBorders/>
            <w:vAlign w:val="center"/>
          </w:tcPr>
          <w:p>
            <w:pPr>
              <w:pStyle w:val="TableContents"/>
              <w:bidi w:val="0"/>
              <w:spacing w:before="0" w:after="0"/>
              <w:ind w:left="0" w:right="0" w:hanging="0"/>
              <w:jc w:val="both"/>
              <w:rPr/>
            </w:pPr>
            <w:hyperlink r:id="rId27">
              <w:r>
                <w:rPr>
                  <w:rStyle w:val="InternetLink"/>
                  <w:rFonts w:ascii="Times New Roman" w:hAnsi="Times New Roman"/>
                  <w:caps w:val="false"/>
                  <w:smallCaps w:val="false"/>
                  <w:sz w:val="20"/>
                  <w:u w:val="single"/>
                </w:rPr>
                <w:t>Amended and Restated Employment Agreement, dated April 18, 2025, by and between Registrant and Eric J. Schoen</w:t>
              </w:r>
            </w:hyperlink>
            <w:hyperlink r:id="rId28">
              <w:r>
                <w:rPr>
                  <w:rStyle w:val="InternetLink"/>
                  <w:rFonts w:ascii="Times New Roman" w:hAnsi="Times New Roman"/>
                  <w:caps w:val="false"/>
                  <w:smallCaps w:val="false"/>
                  <w:sz w:val="20"/>
                  <w:u w:val="single"/>
                </w:rPr>
                <w:t>.</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4/21/2025</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center"/>
              <w:rPr/>
            </w:pPr>
            <w:hyperlink r:id="rId29">
              <w:r>
                <w:rPr>
                  <w:rStyle w:val="InternetLink"/>
                </w:rPr>
                <w:t>10.14</w:t>
              </w:r>
            </w:hyperlink>
            <w:r>
              <w:rPr/>
              <w:t>*</w:t>
            </w:r>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283"/>
              <w:jc w:val="both"/>
              <w:rPr/>
            </w:pPr>
            <w:hyperlink r:id="rId30">
              <w:r>
                <w:rPr>
                  <w:rStyle w:val="InternetLink"/>
                </w:rPr>
                <w:t xml:space="preserve">Amended </w:t>
              </w:r>
            </w:hyperlink>
            <w:hyperlink r:id="rId31">
              <w:r>
                <w:rPr>
                  <w:rStyle w:val="InternetLink"/>
                  <w:u w:val="single"/>
                </w:rPr>
                <w:t>and Restated Employment Agreement, dated April 18, 2025, by and between Registrant and R. Christopher Cook</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4/21/2025</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center"/>
              <w:rPr/>
            </w:pPr>
            <w:hyperlink r:id="rId32">
              <w:r>
                <w:rPr>
                  <w:rStyle w:val="InternetLink"/>
                </w:rPr>
                <w:t>10.16</w:t>
              </w:r>
            </w:hyperlink>
            <w:r>
              <w:rPr/>
              <w:t>*</w:t>
            </w:r>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283"/>
              <w:jc w:val="both"/>
              <w:rPr/>
            </w:pPr>
            <w:hyperlink r:id="rId33">
              <w:r>
                <w:rPr>
                  <w:rStyle w:val="InternetLink"/>
                  <w:u w:val="single"/>
                </w:rPr>
                <w:t>Employment agreement, dated October 1, 2024, by and between Registrant and Richard J. Barry</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center"/>
              <w:rPr/>
            </w:pPr>
            <w:r>
              <w:rPr/>
              <w:t>10/1/2024</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center"/>
              <w:rPr/>
            </w:pPr>
            <w:hyperlink r:id="rId34">
              <w:r>
                <w:rPr>
                  <w:rStyle w:val="InternetLink"/>
                  <w:rFonts w:ascii="Times New Roman" w:hAnsi="Times New Roman"/>
                  <w:caps w:val="false"/>
                  <w:smallCaps w:val="false"/>
                  <w:sz w:val="20"/>
                  <w:u w:val="single"/>
                </w:rPr>
                <w:t>10.18</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6055" w:type="dxa"/>
            <w:tcBorders/>
            <w:vAlign w:val="center"/>
          </w:tcPr>
          <w:p>
            <w:pPr>
              <w:pStyle w:val="TableContents"/>
              <w:bidi w:val="0"/>
              <w:spacing w:before="0" w:after="0"/>
              <w:ind w:left="0" w:right="0" w:hanging="0"/>
              <w:jc w:val="both"/>
              <w:rPr/>
            </w:pPr>
            <w:hyperlink r:id="rId35">
              <w:r>
                <w:rPr>
                  <w:rStyle w:val="InternetLink"/>
                  <w:rFonts w:ascii="Times New Roman" w:hAnsi="Times New Roman"/>
                  <w:caps w:val="false"/>
                  <w:smallCaps w:val="false"/>
                  <w:sz w:val="20"/>
                  <w:u w:val="single"/>
                </w:rPr>
                <w:t>Master Services Agreement between Registrant and Evonik Corporation, dated February 22, 2021.</w:t>
              </w:r>
            </w:hyperlink>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3/11/2021</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8"/>
        <w:gridCol w:w="60"/>
        <w:gridCol w:w="7502"/>
        <w:gridCol w:w="60"/>
        <w:gridCol w:w="411"/>
        <w:gridCol w:w="60"/>
        <w:gridCol w:w="703"/>
        <w:gridCol w:w="60"/>
        <w:gridCol w:w="440"/>
        <w:gridCol w:w="60"/>
        <w:gridCol w:w="201"/>
      </w:tblGrid>
      <w:tr>
        <w:trPr/>
        <w:tc>
          <w:tcPr>
            <w:tcW w:w="648" w:type="dxa"/>
            <w:tcBorders/>
            <w:vAlign w:val="center"/>
          </w:tcPr>
          <w:p>
            <w:pPr>
              <w:pStyle w:val="TableContents"/>
              <w:bidi w:val="0"/>
              <w:spacing w:before="0" w:after="0"/>
              <w:ind w:left="0" w:right="0" w:hanging="0"/>
              <w:jc w:val="center"/>
              <w:rPr/>
            </w:pPr>
            <w:hyperlink r:id="rId36">
              <w:r>
                <w:rPr>
                  <w:rStyle w:val="InternetLink"/>
                  <w:rFonts w:ascii="Times New Roman" w:hAnsi="Times New Roman"/>
                  <w:caps w:val="false"/>
                  <w:smallCaps w:val="false"/>
                  <w:sz w:val="20"/>
                  <w:u w:val="single"/>
                </w:rPr>
                <w:t>10.20</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pPr>
            <w:hyperlink r:id="rId37">
              <w:r>
                <w:rPr>
                  <w:rStyle w:val="InternetLink"/>
                  <w:rFonts w:ascii="Times New Roman" w:hAnsi="Times New Roman"/>
                  <w:caps w:val="false"/>
                  <w:smallCaps w:val="false"/>
                  <w:sz w:val="20"/>
                  <w:u w:val="single"/>
                </w:rPr>
                <w:t>Agreement of Sale and Purchase Between DWF IV Lakewood, LP and Registrant dated July 2, 2021</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11/15/2021</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center"/>
              <w:rPr/>
            </w:pPr>
            <w:hyperlink r:id="rId38">
              <w:r>
                <w:rPr>
                  <w:rStyle w:val="InternetLink"/>
                  <w:rFonts w:ascii="Times New Roman" w:hAnsi="Times New Roman"/>
                  <w:caps w:val="false"/>
                  <w:smallCaps w:val="false"/>
                  <w:sz w:val="20"/>
                  <w:u w:val="single"/>
                </w:rPr>
                <w:t>10.21</w:t>
              </w:r>
            </w:hyperlink>
            <w:r>
              <w:rPr>
                <w:rFonts w:ascii="Times New Roman" w:hAnsi="Times New Roman"/>
                <w:caps w:val="false"/>
                <w:smallCaps w:val="false"/>
                <w:sz w:val="20"/>
              </w:rPr>
              <w:t>*</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pPr>
            <w:hyperlink r:id="rId39">
              <w:r>
                <w:rPr>
                  <w:rStyle w:val="InternetLink"/>
                  <w:rFonts w:ascii="Times New Roman" w:hAnsi="Times New Roman"/>
                  <w:caps w:val="false"/>
                  <w:smallCaps w:val="false"/>
                  <w:sz w:val="20"/>
                  <w:u w:val="single"/>
                </w:rPr>
                <w:t>Amendment 1 to 2018 Omnibus Incentive Plan</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8/4/2022</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283"/>
              <w:jc w:val="center"/>
              <w:rPr/>
            </w:pPr>
            <w:hyperlink r:id="rId40">
              <w:r>
                <w:rPr>
                  <w:rStyle w:val="InternetLink"/>
                </w:rPr>
                <w:t>10.23</w:t>
              </w:r>
            </w:hyperlink>
            <w:r>
              <w:rPr/>
              <w:t>*</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283"/>
              <w:jc w:val="left"/>
              <w:rPr/>
            </w:pPr>
            <w:hyperlink r:id="rId41">
              <w:r>
                <w:rPr>
                  <w:rStyle w:val="InternetLink"/>
                  <w:u w:val="single"/>
                </w:rPr>
                <w:t>Cassava Sciences Non-Employee Director Compensation Plan</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center"/>
              <w:rPr/>
            </w:pPr>
            <w:r>
              <w:rPr/>
              <w:t>10-Q</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center"/>
              <w:rPr/>
            </w:pPr>
            <w:r>
              <w:rPr/>
              <w:t>8/3/2023</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10.3</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283"/>
              <w:jc w:val="center"/>
              <w:rPr/>
            </w:pPr>
            <w:hyperlink r:id="rId42">
              <w:r>
                <w:rPr>
                  <w:rStyle w:val="InternetLink"/>
                </w:rPr>
                <w:t>10.25</w:t>
              </w:r>
            </w:hyperlink>
            <w:r>
              <w:rPr/>
              <w:t>+</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283"/>
              <w:jc w:val="both"/>
              <w:rPr/>
            </w:pPr>
            <w:hyperlink r:id="rId43">
              <w:r>
                <w:rPr>
                  <w:rStyle w:val="InternetLink"/>
                </w:rPr>
                <w:t>License Agreement, dated February 26, 2025, by and between Registrant and Yale University</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center"/>
              <w:rPr/>
            </w:pPr>
            <w:r>
              <w:rPr/>
              <w:t>2/27/2025</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center"/>
              <w:rPr/>
            </w:pPr>
            <w:r>
              <w:rPr/>
              <w:t> </w:t>
            </w:r>
          </w:p>
        </w:tc>
      </w:tr>
      <w:tr>
        <w:trPr/>
        <w:tc>
          <w:tcPr>
            <w:tcW w:w="648" w:type="dxa"/>
            <w:tcBorders/>
            <w:vAlign w:val="center"/>
          </w:tcPr>
          <w:p>
            <w:pPr>
              <w:pStyle w:val="TableContents"/>
              <w:bidi w:val="0"/>
              <w:spacing w:before="0" w:after="283"/>
              <w:jc w:val="center"/>
              <w:rPr/>
            </w:pPr>
            <w:hyperlink w:anchor="ex_895114.htm">
              <w:r>
                <w:rPr>
                  <w:rStyle w:val="InternetLink"/>
                </w:rPr>
                <w:t>19.1</w:t>
              </w:r>
            </w:hyperlink>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283"/>
              <w:jc w:val="left"/>
              <w:rPr/>
            </w:pPr>
            <w:hyperlink w:anchor="ex_895114.htm">
              <w:r>
                <w:rPr>
                  <w:rStyle w:val="InternetLink"/>
                </w:rPr>
                <w:t>Insider Trading Policy</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center"/>
              <w:rPr/>
            </w:pPr>
            <w:r>
              <w:rPr/>
              <w:t>X</w:t>
            </w:r>
          </w:p>
        </w:tc>
      </w:tr>
      <w:tr>
        <w:trPr/>
        <w:tc>
          <w:tcPr>
            <w:tcW w:w="648" w:type="dxa"/>
            <w:tcBorders/>
            <w:vAlign w:val="center"/>
          </w:tcPr>
          <w:p>
            <w:pPr>
              <w:pStyle w:val="TableContents"/>
              <w:bidi w:val="0"/>
              <w:spacing w:before="0" w:after="0"/>
              <w:ind w:left="0" w:right="0" w:hanging="0"/>
              <w:jc w:val="center"/>
              <w:rPr/>
            </w:pPr>
            <w:hyperlink w:anchor="ex_895115.htm">
              <w:r>
                <w:rPr>
                  <w:rStyle w:val="InternetLink"/>
                  <w:rFonts w:ascii="Times New Roman" w:hAnsi="Times New Roman"/>
                  <w:caps w:val="false"/>
                  <w:smallCaps w:val="false"/>
                  <w:sz w:val="20"/>
                </w:rPr>
                <w:t>21.1</w:t>
              </w:r>
            </w:hyperlink>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pPr>
            <w:hyperlink w:anchor="ex_895115.htm">
              <w:r>
                <w:rPr>
                  <w:rStyle w:val="InternetLink"/>
                  <w:rFonts w:ascii="Times New Roman" w:hAnsi="Times New Roman"/>
                  <w:caps w:val="false"/>
                  <w:smallCaps w:val="false"/>
                  <w:sz w:val="20"/>
                </w:rPr>
                <w:t>Subsidiaries of the Registrant.</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vAlign w:val="center"/>
          </w:tcPr>
          <w:p>
            <w:pPr>
              <w:pStyle w:val="TableContents"/>
              <w:bidi w:val="0"/>
              <w:spacing w:before="0" w:after="0"/>
              <w:ind w:left="0" w:right="0" w:hanging="0"/>
              <w:jc w:val="center"/>
              <w:rPr/>
            </w:pPr>
            <w:hyperlink w:anchor="ex_895116.htm">
              <w:r>
                <w:rPr>
                  <w:rStyle w:val="InternetLink"/>
                  <w:rFonts w:ascii="Times New Roman" w:hAnsi="Times New Roman"/>
                  <w:caps w:val="false"/>
                  <w:smallCaps w:val="false"/>
                  <w:sz w:val="20"/>
                </w:rPr>
                <w:t>23.1</w:t>
              </w:r>
            </w:hyperlink>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pPr>
            <w:hyperlink w:anchor="ex_895116.htm">
              <w:r>
                <w:rPr>
                  <w:rStyle w:val="InternetLink"/>
                  <w:rFonts w:ascii="Times New Roman" w:hAnsi="Times New Roman"/>
                  <w:caps w:val="false"/>
                  <w:smallCaps w:val="false"/>
                  <w:sz w:val="20"/>
                </w:rPr>
                <w:t>Consent of Independent Registered Public Accounting Firm.</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vAlign w:val="center"/>
          </w:tcPr>
          <w:p>
            <w:pPr>
              <w:pStyle w:val="TableContents"/>
              <w:bidi w:val="0"/>
              <w:spacing w:before="0" w:after="0"/>
              <w:ind w:left="0" w:right="0" w:hanging="0"/>
              <w:jc w:val="center"/>
              <w:rPr/>
            </w:pPr>
            <w:hyperlink w:anchor="ex_895117.htm">
              <w:r>
                <w:rPr>
                  <w:rStyle w:val="InternetLink"/>
                  <w:rFonts w:ascii="Times New Roman" w:hAnsi="Times New Roman"/>
                  <w:caps w:val="false"/>
                  <w:smallCaps w:val="false"/>
                  <w:sz w:val="20"/>
                </w:rPr>
                <w:t>31.1</w:t>
              </w:r>
            </w:hyperlink>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pPr>
            <w:hyperlink w:anchor="ex_895117.htm">
              <w:r>
                <w:rPr>
                  <w:rStyle w:val="InternetLink"/>
                  <w:rFonts w:ascii="Times New Roman" w:hAnsi="Times New Roman"/>
                  <w:caps w:val="false"/>
                  <w:smallCaps w:val="false"/>
                  <w:sz w:val="20"/>
                </w:rPr>
                <w:t>Certification of Principal Executive Officer pursuant to Section 302 of the Sarbanes-Oxley Act of 2002. </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vAlign w:val="center"/>
          </w:tcPr>
          <w:p>
            <w:pPr>
              <w:pStyle w:val="TableContents"/>
              <w:bidi w:val="0"/>
              <w:spacing w:before="0" w:after="0"/>
              <w:ind w:left="0" w:right="0" w:hanging="0"/>
              <w:jc w:val="center"/>
              <w:rPr/>
            </w:pPr>
            <w:hyperlink w:anchor="ex_895118.htm">
              <w:r>
                <w:rPr>
                  <w:rStyle w:val="InternetLink"/>
                  <w:rFonts w:ascii="Times New Roman" w:hAnsi="Times New Roman"/>
                  <w:caps w:val="false"/>
                  <w:smallCaps w:val="false"/>
                  <w:sz w:val="20"/>
                </w:rPr>
                <w:t>31.2</w:t>
              </w:r>
            </w:hyperlink>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pPr>
            <w:hyperlink w:anchor="ex_895118.htm">
              <w:r>
                <w:rPr>
                  <w:rStyle w:val="InternetLink"/>
                  <w:rFonts w:ascii="Times New Roman" w:hAnsi="Times New Roman"/>
                  <w:caps w:val="false"/>
                  <w:smallCaps w:val="false"/>
                  <w:sz w:val="20"/>
                </w:rPr>
                <w:t>Certification of Principal Financial Officer pursuant to Section 302 of the Sarbanes-Oxley Act of 2002. </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vAlign w:val="center"/>
          </w:tcPr>
          <w:p>
            <w:pPr>
              <w:pStyle w:val="TableContents"/>
              <w:bidi w:val="0"/>
              <w:spacing w:before="0" w:after="0"/>
              <w:ind w:left="0" w:right="0" w:hanging="0"/>
              <w:jc w:val="center"/>
              <w:rPr/>
            </w:pPr>
            <w:hyperlink w:anchor="ex_895119.htm">
              <w:r>
                <w:rPr>
                  <w:rStyle w:val="InternetLink"/>
                  <w:rFonts w:ascii="Times New Roman" w:hAnsi="Times New Roman"/>
                  <w:caps w:val="false"/>
                  <w:smallCaps w:val="false"/>
                  <w:sz w:val="20"/>
                </w:rPr>
                <w:t>32.1</w:t>
              </w:r>
            </w:hyperlink>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pPr>
            <w:hyperlink w:anchor="ex_895119.htm">
              <w:r>
                <w:rPr>
                  <w:rStyle w:val="InternetLink"/>
                  <w:rFonts w:ascii="Times New Roman" w:hAnsi="Times New Roman"/>
                  <w:caps w:val="false"/>
                  <w:smallCaps w:val="false"/>
                  <w:sz w:val="20"/>
                </w:rPr>
                <w:t>Certifications of the Chief Executive Officer and the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vAlign w:val="center"/>
          </w:tcPr>
          <w:p>
            <w:pPr>
              <w:pStyle w:val="TableContents"/>
              <w:bidi w:val="0"/>
              <w:spacing w:before="0" w:after="283"/>
              <w:jc w:val="center"/>
              <w:rPr/>
            </w:pPr>
            <w:hyperlink w:anchor="ex_895120.htm">
              <w:r>
                <w:rPr>
                  <w:rStyle w:val="InternetLink"/>
                </w:rPr>
                <w:t>97</w:t>
              </w:r>
            </w:hyperlink>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283"/>
              <w:jc w:val="left"/>
              <w:rPr/>
            </w:pPr>
            <w:hyperlink w:anchor="ex_895120.htm">
              <w:r>
                <w:rPr>
                  <w:rStyle w:val="InternetLink"/>
                </w:rPr>
                <w:t>Policy Regarding Recovery of Erroneously Awarded Compensation</w:t>
              </w:r>
            </w:hyperlink>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center"/>
              <w:rPr/>
            </w:pPr>
            <w:r>
              <w:rPr/>
              <w:t>X</w:t>
            </w:r>
          </w:p>
        </w:tc>
      </w:tr>
      <w:tr>
        <w:trPr/>
        <w:tc>
          <w:tcPr>
            <w:tcW w:w="64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Labels Linkbase Document.</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48" w:type="dxa"/>
            <w:tcBorders>
              <w:bottom w:val="single" w:sz="2" w:space="0" w:color="000000"/>
            </w:tcBorders>
            <w:tcMar>
              <w:bottom w:w="28" w:type="dxa"/>
            </w:tcMar>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7502" w:type="dxa"/>
            <w:tcBorders/>
            <w:vAlign w:val="center"/>
          </w:tcPr>
          <w:p>
            <w:pPr>
              <w:pStyle w:val="TableContents"/>
              <w:bidi w:val="0"/>
              <w:spacing w:before="0" w:after="283"/>
              <w:jc w:val="both"/>
              <w:rPr/>
            </w:pPr>
            <w:r>
              <w:rPr/>
              <w:t>The cover page from the Company’s Annual Report on Form 10-K for the fiscal year ended December 31, 2025, formatted in Inline XBRL (included in Exhibit 101).</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center"/>
              <w:rPr/>
            </w:pPr>
            <w:r>
              <w:rPr/>
              <w:t>X</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 Management contract, compensatory plan or arrangement.</w:t>
      </w:r>
    </w:p>
    <w:p>
      <w:pPr>
        <w:pStyle w:val="TextBody"/>
        <w:bidi w:val="0"/>
        <w:spacing w:before="0" w:after="0"/>
        <w:ind w:left="0" w:right="0" w:hanging="0"/>
        <w:jc w:val="left"/>
        <w:rPr>
          <w:rFonts w:ascii="Times New Roman" w:hAnsi="Times New Roman"/>
          <w:sz w:val="20"/>
        </w:rPr>
      </w:pPr>
      <w:r>
        <w:rPr>
          <w:rFonts w:ascii="Times New Roman" w:hAnsi="Times New Roman"/>
          <w:sz w:val="20"/>
        </w:rPr>
        <w:t>+ Confidential portions of this document have been redacted as permitted by applicable regulations.</w:t>
      </w:r>
    </w:p>
    <w:p>
      <w:pPr>
        <w:pStyle w:val="TextBody"/>
        <w:bidi w:val="0"/>
        <w:spacing w:before="0" w:after="0"/>
        <w:ind w:left="320" w:right="0" w:hanging="320"/>
        <w:jc w:val="both"/>
        <w:rPr>
          <w:caps w:val="false"/>
          <w:smallCaps w:val="false"/>
        </w:rPr>
      </w:pPr>
      <w:r>
        <w:rPr>
          <w:caps w:val="false"/>
          <w:smallCaps w:val="false"/>
        </w:rPr>
        <w:t> </w:t>
      </w:r>
    </w:p>
    <w:p>
      <w:pPr>
        <w:pStyle w:val="TextBody"/>
        <w:bidi w:val="0"/>
        <w:spacing w:before="0" w:after="0"/>
        <w:ind w:left="320" w:right="0" w:hanging="3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i/>
          <w:caps w:val="false"/>
          <w:smallCaps w:val="false"/>
          <w:sz w:val="20"/>
        </w:rPr>
        <w:t xml:space="preserve">Consolidated Financial Statement Schedules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consolidated financial statement schedules are omitted because the information is inapplicable or presented in the notes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31" w:name="item16"/>
      <w:bookmarkEnd w:id="31"/>
      <w:r>
        <w:rPr>
          <w:rFonts w:ascii="Times New Roman" w:hAnsi="Times New Roman"/>
          <w:b/>
          <w:caps w:val="false"/>
          <w:smallCaps w:val="false"/>
          <w:sz w:val="20"/>
        </w:rPr>
        <w:t>Item 16.</w:t>
      </w:r>
      <w:r>
        <w:rPr>
          <w:rFonts w:ascii="Times New Roman" w:hAnsi="Times New Roman"/>
          <w:caps w:val="false"/>
          <w:smallCaps w:val="false"/>
          <w:sz w:val="20"/>
        </w:rPr>
        <w:t>    </w:t>
      </w:r>
      <w:r>
        <w:rPr>
          <w:rFonts w:ascii="Times New Roman" w:hAnsi="Times New Roman"/>
          <w:b/>
          <w:i/>
          <w:caps w:val="false"/>
          <w:smallCaps w:val="false"/>
          <w:sz w:val="20"/>
        </w:rPr>
        <w:t>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has elected not to include summary information.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2" w:name="sigs"/>
      <w:bookmarkEnd w:id="32"/>
      <w:r>
        <w:rPr>
          <w:rFonts w:ascii="Times New Roman" w:hAnsi="Times New Roman"/>
          <w:b/>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3889" w:type="dxa"/>
        <w:jc w:val="left"/>
        <w:tblInd w:w="0" w:type="dxa"/>
        <w:tblLayout w:type="fixed"/>
        <w:tblCellMar>
          <w:top w:w="0" w:type="dxa"/>
          <w:left w:w="0" w:type="dxa"/>
          <w:bottom w:w="0" w:type="dxa"/>
          <w:right w:w="0" w:type="dxa"/>
        </w:tblCellMar>
      </w:tblPr>
      <w:tblGrid>
        <w:gridCol w:w="60"/>
        <w:gridCol w:w="3719"/>
        <w:gridCol w:w="110"/>
      </w:tblGrid>
      <w:tr>
        <w:trPr/>
        <w:tc>
          <w:tcPr>
            <w:tcW w:w="60" w:type="dxa"/>
            <w:tcBorders/>
            <w:vAlign w:val="center"/>
          </w:tcPr>
          <w:p>
            <w:pPr>
              <w:pStyle w:val="TableContents"/>
              <w:bidi w:val="0"/>
              <w:spacing w:before="0" w:after="283"/>
              <w:jc w:val="left"/>
              <w:rPr/>
            </w:pPr>
            <w:r>
              <w:rPr/>
              <w:t> </w:t>
            </w:r>
          </w:p>
        </w:tc>
        <w:tc>
          <w:tcPr>
            <w:tcW w:w="371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Filana Therapeutics, Inc.</w:t>
            </w:r>
          </w:p>
        </w:tc>
        <w:tc>
          <w:tcPr>
            <w:tcW w:w="1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(Registrant)</w:t>
            </w:r>
          </w:p>
        </w:tc>
      </w:tr>
      <w:tr>
        <w:trPr/>
        <w:tc>
          <w:tcPr>
            <w:tcW w:w="60"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RICHARD J. BARRY</w:t>
            </w:r>
          </w:p>
        </w:tc>
        <w:tc>
          <w:tcPr>
            <w:tcW w:w="11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Richard J. Barry,</w:t>
            </w:r>
          </w:p>
        </w:tc>
      </w:tr>
      <w:tr>
        <w:trPr/>
        <w:tc>
          <w:tcPr>
            <w:tcW w:w="60"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Chief Executive Officer and Director</w:t>
            </w:r>
          </w:p>
        </w:tc>
      </w:tr>
      <w:tr>
        <w:trPr/>
        <w:tc>
          <w:tcPr>
            <w:tcW w:w="60"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Dated: March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56"/>
        <w:gridCol w:w="60"/>
        <w:gridCol w:w="4114"/>
        <w:gridCol w:w="60"/>
        <w:gridCol w:w="3315"/>
      </w:tblGrid>
      <w:tr>
        <w:trPr/>
        <w:tc>
          <w:tcPr>
            <w:tcW w:w="2656"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Title </w:t>
            </w:r>
          </w:p>
        </w:tc>
        <w:tc>
          <w:tcPr>
            <w:tcW w:w="60" w:type="dxa"/>
            <w:tcBorders/>
            <w:tcMar>
              <w:bottom w:w="0" w:type="dxa"/>
            </w:tcMar>
            <w:vAlign w:val="center"/>
          </w:tcPr>
          <w:p>
            <w:pPr>
              <w:pStyle w:val="TableContents"/>
              <w:bidi w:val="0"/>
              <w:spacing w:before="0" w:after="283"/>
              <w:jc w:val="left"/>
              <w:rPr/>
            </w:pPr>
            <w:r>
              <w:rPr/>
              <w:t> </w:t>
            </w:r>
          </w:p>
        </w:tc>
        <w:tc>
          <w:tcPr>
            <w:tcW w:w="33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RICHARD J. BARRY</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Chief Executive Officer and</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ind w:left="0" w:right="0" w:firstLine="1980"/>
              <w:jc w:val="center"/>
              <w:rPr/>
            </w:pPr>
            <w:r>
              <w:rPr/>
              <w:t>March 12, 2026</w:t>
            </w:r>
          </w:p>
        </w:tc>
      </w:tr>
      <w:tr>
        <w:trPr/>
        <w:tc>
          <w:tcPr>
            <w:tcW w:w="2656" w:type="dxa"/>
            <w:tcBorders/>
            <w:tcMar>
              <w:bottom w:w="0" w:type="dxa"/>
            </w:tcMar>
            <w:vAlign w:val="center"/>
          </w:tcPr>
          <w:p>
            <w:pPr>
              <w:pStyle w:val="TableContents"/>
              <w:bidi w:val="0"/>
              <w:spacing w:before="0" w:after="283"/>
              <w:jc w:val="left"/>
              <w:rPr/>
            </w:pPr>
            <w:r>
              <w:rPr/>
              <w:t>Richard J. Barry</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ERIC J. SCHOEN</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center"/>
              <w:rPr/>
            </w:pPr>
            <w:r>
              <w:rPr/>
              <w:t>March 12, 2026</w:t>
            </w:r>
          </w:p>
        </w:tc>
      </w:tr>
      <w:tr>
        <w:trPr/>
        <w:tc>
          <w:tcPr>
            <w:tcW w:w="265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Eric J. Schoen</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ROBERT ANDERSON, JR.</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center"/>
              <w:rPr/>
            </w:pPr>
            <w:r>
              <w:rPr/>
              <w:t>March 12, 2026</w:t>
            </w:r>
          </w:p>
        </w:tc>
      </w:tr>
      <w:tr>
        <w:trPr/>
        <w:tc>
          <w:tcPr>
            <w:tcW w:w="265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Robert Anderson, Jr.</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RICHARD J. BARRY</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center"/>
              <w:rPr/>
            </w:pPr>
            <w:r>
              <w:rPr/>
              <w:t>March 12, 2026</w:t>
            </w:r>
          </w:p>
        </w:tc>
      </w:tr>
      <w:tr>
        <w:trPr/>
        <w:tc>
          <w:tcPr>
            <w:tcW w:w="265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Richard J. Barry</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DAWN C. BIR</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center"/>
              <w:rPr/>
            </w:pPr>
            <w:r>
              <w:rPr/>
              <w:t>March 12, 2026</w:t>
            </w:r>
          </w:p>
        </w:tc>
      </w:tr>
      <w:tr>
        <w:trPr/>
        <w:tc>
          <w:tcPr>
            <w:tcW w:w="265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Dawn C. Bir</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PIERRE GRAVIER</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center"/>
              <w:rPr/>
            </w:pPr>
            <w:r>
              <w:rPr/>
              <w:t>March 12, 2026</w:t>
            </w:r>
          </w:p>
        </w:tc>
      </w:tr>
      <w:tr>
        <w:trPr/>
        <w:tc>
          <w:tcPr>
            <w:tcW w:w="265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Pierre Gravier</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ROBERT Z. GUSSIN, PH.D.</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center"/>
              <w:rPr/>
            </w:pPr>
            <w:r>
              <w:rPr/>
              <w:t>March 12, 2026</w:t>
            </w:r>
          </w:p>
        </w:tc>
      </w:tr>
      <w:tr>
        <w:trPr/>
        <w:tc>
          <w:tcPr>
            <w:tcW w:w="265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Robert Z. Gussin, Ph.D.</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CLAUDE NICAISE, M.D.</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center"/>
              <w:rPr/>
            </w:pPr>
            <w:r>
              <w:rPr/>
              <w:t>March 12, 2026</w:t>
            </w:r>
          </w:p>
        </w:tc>
      </w:tr>
      <w:tr>
        <w:trPr/>
        <w:tc>
          <w:tcPr>
            <w:tcW w:w="265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Claude Nicaise, M.D.</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MICHAEL J. O'DONNELL, ESQ.</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center"/>
              <w:rPr/>
            </w:pPr>
            <w:r>
              <w:rPr/>
              <w:t>March 12, 2026</w:t>
            </w:r>
          </w:p>
        </w:tc>
      </w:tr>
      <w:tr>
        <w:trPr/>
        <w:tc>
          <w:tcPr>
            <w:tcW w:w="265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Michael J. O'Donnell, Esq.</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r>
        <w:trPr/>
        <w:tc>
          <w:tcPr>
            <w:tcW w:w="2656"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PATRICK SCANNON, M.D., PH.D.</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center"/>
              <w:rPr/>
            </w:pPr>
            <w:r>
              <w:rPr/>
              <w:t>March 12, 2026</w:t>
            </w:r>
          </w:p>
        </w:tc>
      </w:tr>
      <w:tr>
        <w:trPr/>
        <w:tc>
          <w:tcPr>
            <w:tcW w:w="265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Patrick Scannon, M.D., Ph.D.</w:t>
            </w:r>
          </w:p>
        </w:tc>
        <w:tc>
          <w:tcPr>
            <w:tcW w:w="60" w:type="dxa"/>
            <w:tcBorders/>
            <w:tcMar>
              <w:bottom w:w="0" w:type="dxa"/>
            </w:tcMar>
            <w:vAlign w:val="center"/>
          </w:tcPr>
          <w:p>
            <w:pPr>
              <w:pStyle w:val="TableContents"/>
              <w:bidi w:val="0"/>
              <w:spacing w:before="0" w:after="283"/>
              <w:jc w:val="left"/>
              <w:rPr/>
            </w:pPr>
            <w:r>
              <w:rPr/>
              <w:t> </w:t>
            </w:r>
          </w:p>
        </w:tc>
        <w:tc>
          <w:tcPr>
            <w:tcW w:w="41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1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108 </w:t>
      </w:r>
    </w:p>
    <w:p>
      <w:pPr>
        <w:pStyle w:val="TextBody"/>
        <w:bidi w:val="0"/>
        <w:spacing w:before="0" w:after="0"/>
        <w:ind w:left="1440" w:right="0" w:firstLine="720"/>
        <w:jc w:val="right"/>
        <w:rPr>
          <w:rFonts w:ascii="Times New Roman" w:hAnsi="Times New Roman"/>
          <w:b/>
          <w:caps w:val="false"/>
          <w:smallCaps w:val="false"/>
          <w:sz w:val="20"/>
        </w:rPr>
      </w:pPr>
      <w:bookmarkStart w:id="33" w:name="ex_895112.htm"/>
      <w:bookmarkStart w:id="34" w:name="ksex_895112"/>
      <w:bookmarkEnd w:id="33"/>
      <w:bookmarkEnd w:id="34"/>
      <w:r>
        <w:rPr>
          <w:rFonts w:ascii="Times New Roman" w:hAnsi="Times New Roman"/>
          <w:b/>
          <w:caps w:val="false"/>
          <w:smallCaps w:val="false"/>
          <w:sz w:val="20"/>
        </w:rPr>
        <w:t>Exhibit 4.2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DESCRIPTION OF THE REGISTRANT</w:t>
      </w:r>
      <w:r>
        <w:rPr>
          <w:rFonts w:ascii="Times New Roman" w:hAnsi="Times New Roman"/>
          <w:caps w:val="false"/>
          <w:smallCaps w:val="false"/>
          <w:sz w:val="20"/>
        </w:rPr>
        <w:t>’</w:t>
      </w:r>
      <w:r>
        <w:rPr>
          <w:rFonts w:ascii="Times New Roman" w:hAnsi="Times New Roman"/>
          <w:b/>
          <w:caps w:val="false"/>
          <w:smallCaps w:val="false"/>
          <w:sz w:val="20"/>
        </w:rPr>
        <w:t>S SECURITIES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 PURSUANT TO SECTION 12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is a brief description of (i) the common stock, $0.001 par value per share ( “Common Stock”), of Filana Therapeutics, Inc. (the “Company”) and (ii) the warrants, each whole warrant exercisable for shares of Common Stock (“Warrants”), of the Company, each of which is registered pursuant to Section 12 of the Securities Exchange Act of 1934, as amended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summary of the material features of our Common Stock and certain provisions of Delaware law do not purport to be complete and is subject to, and qualified in its entirety by, the provisions of our amended and restated certificate of incorporation, our bylaws, the Delaware General Corporation Law (“DGCL”) and other applicable law. For additional detail about our capital stock, please refer to our amended and restated certificate of incorporation and bylaws, each as amended, copies of which are included as exhibits to our Annual Report on Form 10-K for the year ended December 31, 2023.</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the date of this Exhibit to the Form 10-K, our authorized capital stock consists of 130,000,000 shares. The Company is authorized to issue two classes of shares to be designated, respectively, Common Stock and Preferred Stock. The total number of shares of Common Stock which this Company is authorized to issue is 120,000,000, with a par value of $0.001, and the total number of shares of Preferred Stock which we is authorized to issue is 10,000,000, with a par value of $0.001. As of December 31, 2023, there were 42,236,919 shares of Common Stock issued and outstanding. Our Common Stock is listed on the Nasdaq Capital Market under the symbol “SAVA.”</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Liquidation Rights </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event of our liquidation, dissolution or winding up, the holders of Common Stock are entitled to share ratably in all assets remaining after payment of liabilities, subject to prior distribution rights of preferred stock then outstanding. The Common Stock has no preemptive or conversion rights or other subscription rights. There are no redemption or sinking fund provisions applicable to the Common Stock.</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Voting Right</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holders of Common Stock are entitled to one vote per share on all matters to be voted upon by the stockholders.</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Dividends </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Subject to preferences that may be applicable to any outstanding preferred stock, the holders of Common Stock are entitled to receive ratably any dividends that may be declared from time to time by the board of directors out of funds legally available for that purpose. However, the Company is not currently paying any dividends.</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No Preemptive or Similar Rights </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Common Stock has no preemptive or conversion rights or other subscription rights. There are no redemption or sinking fund provisions applicable to the Common Stock.</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Limitation on Rights of Holders of Common Stock </w:t>
      </w:r>
      <w:r>
        <w:rPr>
          <w:rFonts w:ascii="Times New Roman" w:hAnsi="Times New Roman"/>
          <w:caps w:val="false"/>
          <w:smallCaps w:val="false"/>
          <w:sz w:val="20"/>
        </w:rPr>
        <w:t xml:space="preserve">– </w:t>
      </w: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have no shares of preferred stock outstanding. Our board of directors has the authority, without further action by the stockholders, to issue up to 10,000,000 shares of preferred stock in one or more series and to fix the rights, preferences, privileges and restrictions granted to or imposed upon the preferred stock. Any or all of these rights may be greater than the rights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of directors, without stockholder approval, can issue preferred stock with voting, conversion or other rights that could negatively affect the voting power and other rights of the holders of Common Stock. Preferred stock could thus be issued quickly with terms calculated to delay or prevent a change in control of us or make it more difficult to remove our management. Additionally, the issuance of preferred stock may have the effect of decreasing the market price of the Common Stock.</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Certain Anti-Takeover Matters</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amended and restated certificate of incorporation requires that certain amendments of the amended and restated certificate of incorporation and certain amendments by the stockholders of our bylaws require the approval of at least 66 2/3% of the voting power of all outstanding stock. These provisions could discourage a potential acquirer from making a tender offer or otherwise attempting to obtain control of our company and could delay changes in our management.</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bylaws establish an advance notice procedure for stockholder proposals to be brought before an annual meeting of our stockholders, including proposed nominations of persons for election to the board of directors. At an annual meeting, stockholders may only consider proposals or nominations specified in the notice of meeting or brought before the meeting by or at the direction of the board of directors. Stockholders may also consider a proposal or nomination by a person who was a stockholder of record on the record date for the meeting, who is entitled to vote at the meeting and who has given to our Secretary timely written notice, in proper form, of his or her intention to bring that business before the meeting. The bylaws do not give the board of directors the power to approve or disapprove stockholder nominations of candidates or proposals regarding other business to be conducted at a special or annual meeting of the stockholders. However, our bylaws may have the effect of precluding the conduct of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bylaws provide that only our board of directors, the chairman of the board, the president or the chief executive officer may call a special meeting of stockholders. Because our stockholders do not have the right to call a special meeting, a stockholder could not force stockholder consideration of a proposal over the opposition of the board of directors by calling a special meeting of stockholders prior to such time as a majority of the board of directors believed or the chief executive officer believed the matter should be considered or until the next annual meeting provided that the requestor met the notice requirements. The restriction on the ability of stockholders to call a special meeting means that a proposal to replace the board also could be delayed until the next annual meeting.</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Director Classification</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amended and restated certificate of incorporation provides for our board of directors to be divided into three classes serving staggered terms. Approximately one-third of the board of directors will be elected each year. The provision for a classified board could prevent a party who acquires control of a majority of the outstanding voting stock from obtaining control of the board of directors until the second annual stockholders meeting following the date the acquirer obtains the controlling stock interest. The classified board provision could discourage a potential acquirer from making a tender offer or otherwise attempting to obtain control of our company and could increase the likelihood that incumbent directors will retain their positions. Our amended and restated certificate of incorporation provides that directors may be removed with cause by the affirmative vote of the holders of the outstanding shares of Common Stock.</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Limitation of Liability and Indemnification Matters</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Our amended and restated certificate of incorporation provides that to the fullest extent permitted by the DGCL as the same exists or as may hereafter be amended, a director of the Company or any subsidiary of the Company will not be held personally liable to the Company or its stockholders and will otherwise be indemnified by the Company for monetary damages for breach of fiduciary duty as a director of the Company, any predecessor of the Company or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 under the amended and restated certificate of incorporation, also indemnifies to the fullest extent permitted by law any person made or threatened to be made a party to an action or proceeding, whether criminal, civil, administrative or investigative, by reason of the fact that he, his testator or intestate is or was a director or officer of the Company, any predecessor of the Company or any subsidiary of the Company or serves or served at any other enterprise as a director or officer at the request of the Company, any predecessor to the Company or any subsidiary of the Company.</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Section 203 of the Delaware General Corporation Law</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are subject to the provisions of Section 203 of the DGCL. Under Section 203, we would generally be prohibited from engaging in any business combination with any interested stockholder for a period of three years following the time that this stockholder became an interested stockholder unless:</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tbl>
      <w:tblPr>
        <w:tblW w:w="10205" w:type="dxa"/>
        <w:jc w:val="left"/>
        <w:tblInd w:w="0" w:type="dxa"/>
        <w:tblLayout w:type="fixed"/>
        <w:tblCellMar>
          <w:top w:w="0" w:type="dxa"/>
          <w:left w:w="0" w:type="dxa"/>
          <w:bottom w:w="0" w:type="dxa"/>
          <w:right w:w="0" w:type="dxa"/>
        </w:tblCellMar>
      </w:tblPr>
      <w:tblGrid>
        <w:gridCol w:w="60"/>
        <w:gridCol w:w="65"/>
        <w:gridCol w:w="10080"/>
      </w:tblGrid>
      <w:tr>
        <w:trPr/>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to this time, the board of directors of the Company approved either the business combination or the transaction that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tbl>
      <w:tblPr>
        <w:tblW w:w="10205" w:type="dxa"/>
        <w:jc w:val="left"/>
        <w:tblInd w:w="0" w:type="dxa"/>
        <w:tblLayout w:type="fixed"/>
        <w:tblCellMar>
          <w:top w:w="0" w:type="dxa"/>
          <w:left w:w="0" w:type="dxa"/>
          <w:bottom w:w="0" w:type="dxa"/>
          <w:right w:w="0" w:type="dxa"/>
        </w:tblCellMar>
      </w:tblPr>
      <w:tblGrid>
        <w:gridCol w:w="60"/>
        <w:gridCol w:w="65"/>
        <w:gridCol w:w="10080"/>
      </w:tblGrid>
      <w:tr>
        <w:trPr/>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consummation of the transaction that resulted in the stockholder’s becoming an interested stockholder, the interested stockholder owned at least 85% of the voting stock of the Company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tbl>
      <w:tblPr>
        <w:tblW w:w="10205" w:type="dxa"/>
        <w:jc w:val="left"/>
        <w:tblInd w:w="0" w:type="dxa"/>
        <w:tblLayout w:type="fixed"/>
        <w:tblCellMar>
          <w:top w:w="0" w:type="dxa"/>
          <w:left w:w="0" w:type="dxa"/>
          <w:bottom w:w="0" w:type="dxa"/>
          <w:right w:w="0" w:type="dxa"/>
        </w:tblCellMar>
      </w:tblPr>
      <w:tblGrid>
        <w:gridCol w:w="60"/>
        <w:gridCol w:w="65"/>
        <w:gridCol w:w="10080"/>
      </w:tblGrid>
      <w:tr>
        <w:trPr/>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Section 203, a “business combination” includes:</w:t>
      </w:r>
    </w:p>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70"/>
        <w:gridCol w:w="6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merger or consolidation involving the Company and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70"/>
        <w:gridCol w:w="6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merger or consolidation involving the Company and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sale, transfer, pledge or other disposition of 10% or more of the assets of the Company involving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transaction that results in the issuance or transfer by the Company of any stock of the Company to the interested stockholder, subject to limited exceptions;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transaction involving the Company that has the effect of increasing the proportionate share of the stock of any class or series of the Company beneficially owned by the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receipt by the interested stockholder of the benefit of any loans, advances, guarantees, pledges or other financial benefits provided by or through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general, Section 203 defines an interested stockholder as an entity or person beneficially owning 15% or more of the outstanding voting stock of the Company and any entity or person affiliated with or controlling or controlled by such entity 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cs="Times New Roman"/>
          <w:bCs/>
          <w:iCs/>
          <w:caps w:val="false"/>
          <w:smallCaps w:val="false"/>
          <w:szCs w:val="20"/>
        </w:rPr>
        <w:t>﻿</w:t>
      </w:r>
      <w:r>
        <w:rPr>
          <w:rFonts w:ascii="Times New Roman" w:hAnsi="Times New Roman"/>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summary of the material features of our Warrants and certain provisions of Delaware law do not purport to be complete and is subject to, and qualified in its entirety by, the provisions of our amended and restated certificate of incorporation, our bylaws, the warrant agreement, dated as of January 3, 2024 (the “Warrant Agreement”), between the Company and Computershare Inc. and Computershare Trust Company, N.A., as warrant agents, the DGCL and other applicable law. For additional detail about our Warrants, please refer to our amended and restated certificate of incorporation and bylaws, each as amended from time to time, copies of which are included as exhibits to our Annual Report on Form 10-K for the year ended December 31, 2023.</w:t>
      </w:r>
    </w:p>
    <w:p>
      <w:pPr>
        <w:pStyle w:val="TextBody"/>
        <w:bidi w:val="0"/>
        <w:spacing w:before="0" w:after="0"/>
        <w:ind w:left="0" w:right="0" w:hanging="0"/>
        <w:jc w:val="left"/>
        <w:rPr>
          <w:caps w:val="false"/>
          <w:smallCaps w:val="false"/>
        </w:rPr>
      </w:pPr>
      <w:r>
        <w:rPr>
          <w:caps w:val="false"/>
          <w:smallCaps w:val="false"/>
        </w:rPr>
        <w:t> </w:t>
      </w:r>
      <w:r>
        <w:rPr>
          <w:rFonts w:cs="Times New Roman"/>
          <w:caps w:val="false"/>
          <w:smallCaps w:val="false"/>
          <w:szCs w:val="20"/>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the date of distribution of the Warrants, January 3, 2024 , there were 16,894,704 Warrants issued and outstanding. Our Warrants are listed on the Nasdaq Capital Market under the symbol “SAVAW.”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Warrant Exercise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Warrant represents the right to purchase from the Company one share of Common Stock (the “Basic Warrant Exercise Rate”) plus the Bonus Share Fraction (as defined below), if any as described below, for the applicable exercise date for cash at an initial exercise price of $33.00 (the “Exercise Price”) per Warrant, payable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Until the Bonus Share Fraction Expiration Date (as defined below), a holder exercising its Warrants will receive, in addition to the Basic Warrant Exercise Rate, initially, an additional 0.5 of a Common Share for each Warrant exercised (subject to adjustment as described herein, the “Bonus Share Fraction”) without payment of any additional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right to receive the Bonus Share Fraction will expire at 5:00 p.m. New York City time (the “Bonus Share Expiration Date”) upon the earlier of (i) the first business day following the last day of the first 30 consecutive trading day period commencing on or after the distribution date in which the daily VWAPs (as defined in the Warrant Agreement) of the shares of Common Stock has been at least equal to the then applicable Bonus Share Expiration Trigger Price (as defined in the Warrant Agreement) for at least 20 trading days (whether or not consecutive) (the “Bonus Price Condition”) and (ii) the date specified by the Company upon not less than 20 business days’ notice. Any Warrant exercised with an exercise date after the Bonus Share Expiration Date will not be entitled to any Bonus Share Fraction.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“Bonus Share Expiration Trigger Price” is initially $26.40, subject to certain adjustments described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Basic Warrant Exercise Rate plus any Bonus Share Fraction is referred to as the Warrant Exercise Rate. The Basic Warrant Exercise Rate, the Bonus Share Fraction and the Bonus Share Expiration Trigger Price are each subject to certain adjustments described in the “Anti-Dilution Adjustments” section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will make a public announcement of the Bonus Share Expiration Date (i) prior to market open on the Bonus Share Expiration Date in the case of a Bonus Price Condition and (ii) at least 20 Business Days prior to such date, in the case of the Company setting a Bonus Share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Expiration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Except as described below, the Warrants will expire and cease to be exercisable at 5:00 p.m. New York City time on November 15, 2024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Warrants are redeemable at the Company’s sole option at any time with a redemption date on or after April 15,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By public announcement only, the Company will provide at least 20 calendar days’ notice (the “Redemption Notice”) of the date selected for redemption (the “Redemption Date”). The redemption price upon any redemption shall equal to 1/10 of $0.01 per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event of a redemption of the Warrants, Warrants will be exercisable until 5:00 p.m. New York City time on the business day immediately preceding the Redemption Date. The Warrants will not be exercisable after 5:00 p.m. New York City time on the business day immediately preceding the Redemption Date and will cease to be outstanding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or any part of the Warrants may be exercised prior to the earlier of (x) 5:00 p.m. New York City time on the Expiration Date and (y) 5:00 p.m. New York City time on the Business Day prior to the Redemption Date by delivering a completed form of election to purchase shares of Common Stock, which contains certain representations by the holder of the Warrants, and payment of the Exercise Price in cash. Any such delivery that occurs on a day that is not a Business Day or is received after 5:00 p.m., New York City time, on any given Business Day will be deemed received and exercised on the next succeeding Business Day. Record owners of Warrants may exercise Warrants through the process established by the Warrant Agent. Indirect, “street name” holders of Warrants should contact their broker, bank or other intermediary for information on how to exercise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 registration statement is not effective at any time or from time to time, the right to exercise Warrants shall be automatically suspended until such registration statement becomes effective as described under “Registration and Suspension”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Upon delivery of Warrant Shares upon exercise of Warrants, the Company will issue such whole number of Warrant Shares as the exercising Warrant holder is entitled to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Without the prior written consent of the Company (which consent may be withheld in the Company’s sole discretion), a holder will not be permitted to exercise Warrants for any shares of Common Stock, and the Company shall not be obligated to effect such exercise if, following such exercise, the holder (together with such holder’s affiliates, and any other persons acting as a group with such holder and its affiliates) would beneficially own 9.9% or more of the shares of Common Stock outstanding, including without limitation, through synthetic or derivative financial instruments that give effect to a direct or indirect ownership in the common stock of the Company (the “Ownership Limitation”). No consideration or repayment will be made to any holder as a result of an inability to exercise a Warrant in whole or in part because of such ownership limitations. The terms “beneficial ownership” and “group” shall be determined in accordance with Section 13(d) of the Exchange Act and the rules and regulations promulgated thereunder. For purposes of determining whether the Ownership Limitation has been reached, a holder may rely on the number of outstanding shares of Common Stock reflected in (x) the Company’s most recent periodic or annual report filed with the SEC or (y) any more recent notice published on the Company’s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Registration and Suspension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agreed in the Warrant Agreement to use commercially reasonable efforts to cause a shelf registration statement (including, at the Company’s election, an existing registration statement), to be filed pursuant to Rule 415 (or any successor provision) of the Securities Act, covering the issuance of shares of Common Stock to the Warrant holders upon exercise of the Warrants to remain effective until the earlier of (i) such time as all Warrants have been exercised and (ii) the earlier of the Expiration Date and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Anti-Dilution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Basic Warrant Exercise Rate shall be subject to adjustment, without duplication, upon the occurrence of certain events, including, among others, stock dividends payable in shares of Common Stock, stock splits, reclassifications and combinations, certain rights offerings to holders of shares of Common Stock, other distributions and spin-offs of securities to holders of shares of Common Stock, and cash dividends on shares of Common Stock, each as more fully described in the Warrant Agreement, except that the Company shall not make any such adjustments if each holder has the opportunity to participate, at the same time and upon the same terms as holders of the shares of Common Stock and solely as a result of holding the Warrants in any of the transactions described below, without having to exercise such holder’s Warrants, as if such holder held a number of shares of Common Stock equal to the product (rounded down to the nearest whole multiple of a share of Common Stock) of (i) the Warrant Exercise Rate in effect on the record date for such transaction and (ii) the number of Warrants held by it on such record date. The Bonus Share Fraction and the Bonus Share Expiration Trigger Price will be proportionately adjusted for any adjustment to the Basic Warrant Exercise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adjustments to the Basic Warrant Exercise Rate shall be made by the Calculation Agent to the nearest whole multiple of 0.00001 (with 0.000005 being rounded upwards) share of Common Stock. Any adjustments described above shall be made successively whenever an event referred to therein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Business Combinations and Reorganizations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the event of a merger, consolidation, amalgamation, statutory share exchange or similar transaction that requires the approval of the Company’s shareholders (a “Business Combination”) or reclassification of Common Stock, other than a reclassification of Common Stock referred to in “Anti-Dilution Adjustments” above, the right of a Warrant holder to receive Common Stock upon exercise of a Warrant will be converted into the right to exercise a Warrant to acquire, per each Warrant, the number of shares or other securities or property (including cash) that a number of shares of Common Stock equal to the Warrant Exercise Rate (in effect at the time of such Business Combination or reclassification) immediately prior to such Business Combination or reclassification would have been entitled to receive upon consummation of such Business Combination or reclassification (the amount of such shares, other securities or property in respect of a share of Common Stock being herein referred to as a “Unit of Reference Property”). If the Business Combination causes the Common Stock to be converted into, or exchanged for, the right to receive more than a single type of consideration (determined based in part upon any form of shareholder election), then the composition of the Unit of Reference Property into which the Warrants will be exercisable will be deemed to be the weighted average of the types and amounts of consideration actually received by the 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5" w:name="ex_916607.htm"/>
      <w:bookmarkStart w:id="36" w:name="ksex_916607"/>
      <w:bookmarkEnd w:id="35"/>
      <w:bookmarkEnd w:id="36"/>
      <w:r>
        <w:rPr>
          <w:rFonts w:ascii="Times New Roman;Times;serif" w:hAnsi="Times New Roman;Times;serif"/>
          <w:b/>
          <w:sz w:val="20"/>
        </w:rPr>
        <w:t>Exhibit 10.11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CASSAVA SCIENCES, INC.</w:t>
      </w:r>
      <w:r>
        <w:rPr>
          <w:rFonts w:ascii="Times New Roman" w:hAnsi="Times New Roman"/>
          <w:caps w:val="false"/>
          <w:smallCaps w:val="false"/>
          <w:sz w:val="20"/>
        </w:rPr>
        <w:br/>
        <w:t>Shares of Common Stock</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(par value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Controlled Equity OfferingSM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November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Cantor Fitzgerald &amp; Co.</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110 East 59th Street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Cassava Sciences, Inc., a Delaware corporation (the “</w:t>
      </w:r>
      <w:r>
        <w:rPr>
          <w:rFonts w:ascii="Times New Roman" w:hAnsi="Times New Roman"/>
          <w:b/>
          <w:caps w:val="false"/>
          <w:smallCaps w:val="false"/>
          <w:sz w:val="20"/>
          <w:u w:val="single"/>
        </w:rPr>
        <w:t>Company</w:t>
      </w:r>
      <w:r>
        <w:rPr>
          <w:rFonts w:ascii="Times New Roman" w:hAnsi="Times New Roman"/>
          <w:caps w:val="false"/>
          <w:smallCaps w:val="false"/>
          <w:sz w:val="20"/>
        </w:rPr>
        <w:t>”), confirms its agreement (this “</w:t>
      </w:r>
      <w:r>
        <w:rPr>
          <w:rFonts w:ascii="Times New Roman" w:hAnsi="Times New Roman"/>
          <w:b/>
          <w:caps w:val="false"/>
          <w:smallCaps w:val="false"/>
          <w:sz w:val="20"/>
          <w:u w:val="single"/>
        </w:rPr>
        <w:t>Agreement</w:t>
      </w:r>
      <w:r>
        <w:rPr>
          <w:rFonts w:ascii="Times New Roman" w:hAnsi="Times New Roman"/>
          <w:caps w:val="false"/>
          <w:smallCaps w:val="false"/>
          <w:sz w:val="20"/>
        </w:rPr>
        <w:t>”) with Cantor Fitzgerald &amp; Co. (the “</w:t>
      </w:r>
      <w:r>
        <w:rPr>
          <w:rFonts w:ascii="Times New Roman" w:hAnsi="Times New Roman"/>
          <w:b/>
          <w:caps w:val="false"/>
          <w:smallCaps w:val="false"/>
          <w:sz w:val="20"/>
          <w:u w:val="single"/>
        </w:rPr>
        <w:t>Agent</w:t>
      </w:r>
      <w:r>
        <w:rPr>
          <w:rFonts w:ascii="Times New Roman" w:hAnsi="Times New Roman"/>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Issuance and Sale of Shares</w:t>
            </w:r>
            <w:r>
              <w:rPr>
                <w:rFonts w:ascii="Times New Roman" w:hAnsi="Times New Roman"/>
                <w:caps w:val="false"/>
                <w:smallCaps w:val="false"/>
                <w:sz w:val="20"/>
              </w:rPr>
              <w:t>. The Company agrees that, from time to time during the term of this Agreement, on the terms and subject to the conditions set forth herein, it may issue and sell to or through the Agent, as sales agent or principal, shares of common stock (the “</w:t>
            </w:r>
            <w:r>
              <w:rPr>
                <w:rFonts w:ascii="Times New Roman" w:hAnsi="Times New Roman"/>
                <w:b/>
                <w:caps w:val="false"/>
                <w:smallCaps w:val="false"/>
                <w:sz w:val="20"/>
                <w:u w:val="single"/>
              </w:rPr>
              <w:t>Placement Shares</w:t>
            </w:r>
            <w:r>
              <w:rPr>
                <w:rFonts w:ascii="Times New Roman" w:hAnsi="Times New Roman"/>
                <w:caps w:val="false"/>
                <w:smallCaps w:val="false"/>
                <w:sz w:val="20"/>
              </w:rPr>
              <w:t>”) of the Company, par value $0.001 per share (the “</w:t>
            </w:r>
            <w:r>
              <w:rPr>
                <w:rFonts w:ascii="Times New Roman" w:hAnsi="Times New Roman"/>
                <w:b/>
                <w:caps w:val="false"/>
                <w:smallCaps w:val="false"/>
                <w:sz w:val="20"/>
                <w:u w:val="single"/>
              </w:rPr>
              <w:t>Common Stock</w:t>
            </w:r>
            <w:r>
              <w:rPr>
                <w:rFonts w:ascii="Times New Roman" w:hAnsi="Times New Roman"/>
                <w:caps w:val="false"/>
                <w:smallCaps w:val="false"/>
                <w:sz w:val="20"/>
              </w:rPr>
              <w:t>”);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in no event shall the Company issue or sell through the Agent such number or dollar amount of Placement Shares that would (a) exceed the number or dollar amount of shares of Common Stock registered on the effective Registration Statement (as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(as defined below) (the lesser of (a), (b), (c) and (d), the “</w:t>
            </w:r>
            <w:r>
              <w:rPr>
                <w:rFonts w:ascii="Times New Roman" w:hAnsi="Times New Roman"/>
                <w:b/>
                <w:caps w:val="false"/>
                <w:smallCaps w:val="false"/>
                <w:sz w:val="20"/>
                <w:u w:val="single"/>
              </w:rPr>
              <w:t>Maximum Amount</w:t>
            </w:r>
            <w:r>
              <w:rPr>
                <w:rFonts w:ascii="Times New Roman" w:hAnsi="Times New Roman"/>
                <w:caps w:val="false"/>
                <w:smallCaps w:val="false"/>
                <w:sz w:val="20"/>
              </w:rPr>
              <w:t>”). Notwithstanding anything to the contrary contained herein, the parties hereto agree that compliance with the limitations set forth in this </w:t>
            </w:r>
            <w:r>
              <w:rPr>
                <w:rFonts w:ascii="Times New Roman" w:hAnsi="Times New Roman"/>
                <w:caps w:val="false"/>
                <w:smallCaps w:val="false"/>
                <w:sz w:val="20"/>
                <w:u w:val="single"/>
              </w:rPr>
              <w:t>Section 1</w:t>
            </w:r>
            <w:r>
              <w:rPr>
                <w:rFonts w:ascii="Times New Roman" w:hAnsi="Times New Roman"/>
                <w:caps w:val="false"/>
                <w:smallCaps w:val="false"/>
                <w:sz w:val="20"/>
              </w:rPr>
              <w:t> on the amount of Placement Shares issued and sold under this Agreement shall be the sole responsibility of the Company and that the Agent shall have no obligation in connection with such compliance. The offer and sale of Placement Shares through the Agent will be effected pursuant to the Registration Statement (as defined below) filed by the Company and which will be declared effective by the Securities and Exchange Commission (the “</w:t>
            </w:r>
            <w:r>
              <w:rPr>
                <w:rFonts w:ascii="Times New Roman" w:hAnsi="Times New Roman"/>
                <w:b/>
                <w:caps w:val="false"/>
                <w:smallCaps w:val="false"/>
                <w:sz w:val="20"/>
                <w:u w:val="single"/>
              </w:rPr>
              <w:t>Commission</w:t>
            </w:r>
            <w:r>
              <w:rPr>
                <w:rFonts w:ascii="Times New Roman" w:hAnsi="Times New Roman"/>
                <w:caps w:val="false"/>
                <w:smallCaps w:val="false"/>
                <w:sz w:val="20"/>
              </w:rPr>
              <w:t>”) or will otherwise become effective in accordance with the Securities Act (as defined below), although nothing in this Agreement shall be construed as requiring the Company to use the Registration Statement to issue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filed or will file, in accordance with the provisions of the Securities Act of 1933, as amended (the “</w:t>
      </w:r>
      <w:r>
        <w:rPr>
          <w:rFonts w:ascii="Times New Roman" w:hAnsi="Times New Roman"/>
          <w:b/>
          <w:caps w:val="false"/>
          <w:smallCaps w:val="false"/>
          <w:sz w:val="20"/>
          <w:u w:val="single"/>
        </w:rPr>
        <w:t>Securities Act</w:t>
      </w:r>
      <w:r>
        <w:rPr>
          <w:rFonts w:ascii="Times New Roman" w:hAnsi="Times New Roman"/>
          <w:caps w:val="false"/>
          <w:smallCaps w:val="false"/>
          <w:sz w:val="20"/>
        </w:rPr>
        <w:t>”), and the rules and regulations thereunder (the “</w:t>
      </w:r>
      <w:r>
        <w:rPr>
          <w:rFonts w:ascii="Times New Roman" w:hAnsi="Times New Roman"/>
          <w:b/>
          <w:caps w:val="false"/>
          <w:smallCaps w:val="false"/>
          <w:sz w:val="20"/>
          <w:u w:val="single"/>
        </w:rPr>
        <w:t>Securities Act Regulations</w:t>
      </w:r>
      <w:r>
        <w:rPr>
          <w:rFonts w:ascii="Times New Roman" w:hAnsi="Times New Roman"/>
          <w:caps w:val="false"/>
          <w:smallCaps w:val="false"/>
          <w:sz w:val="20"/>
        </w:rPr>
        <w:t>”), with the Commission a registration statement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hAnsi="Times New Roman"/>
          <w:b/>
          <w:caps w:val="false"/>
          <w:smallCaps w:val="false"/>
          <w:sz w:val="20"/>
          <w:u w:val="single"/>
        </w:rPr>
        <w:t>Exchange Act</w:t>
      </w:r>
      <w:r>
        <w:rPr>
          <w:rFonts w:ascii="Times New Roman" w:hAnsi="Times New Roman"/>
          <w:caps w:val="false"/>
          <w:smallCaps w:val="false"/>
          <w:sz w:val="20"/>
        </w:rPr>
        <w:t>”), and the rules and regulations thereunder.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Times New Roman" w:hAnsi="Times New Roman"/>
          <w:b/>
          <w:caps w:val="false"/>
          <w:smallCaps w:val="false"/>
          <w:sz w:val="20"/>
          <w:u w:val="single"/>
        </w:rPr>
        <w:t>Prospectus Supplement</w:t>
      </w:r>
      <w:r>
        <w:rPr>
          <w:rFonts w:ascii="Times New Roman" w:hAnsi="Times New Roman"/>
          <w:caps w:val="false"/>
          <w:smallCaps w:val="false"/>
          <w:sz w:val="20"/>
        </w:rPr>
        <w:t>”). The Company will furnish to the Agent, for use by the Agent, copies of the prospectus included as part of such registration statement, as supplemented by the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S-3 from time to time that will contain a base prospectus and related prospectus or prospectus supplement, if applicable (which shall be a Prospectus Supplement), with respect to the Placement Shares, is herein called the “</w:t>
      </w:r>
      <w:r>
        <w:rPr>
          <w:rFonts w:ascii="Times New Roman" w:hAnsi="Times New Roman"/>
          <w:b/>
          <w:caps w:val="false"/>
          <w:smallCaps w:val="false"/>
          <w:sz w:val="20"/>
          <w:u w:val="single"/>
        </w:rPr>
        <w:t>Registration Statement</w:t>
      </w:r>
      <w:r>
        <w:rPr>
          <w:rFonts w:ascii="Times New Roman" w:hAnsi="Times New Roman"/>
          <w:caps w:val="false"/>
          <w:smallCaps w:val="false"/>
          <w:sz w:val="20"/>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(as defined below), is herein called the “</w:t>
      </w:r>
      <w:r>
        <w:rPr>
          <w:rFonts w:ascii="Times New Roman" w:hAnsi="Times New Roman"/>
          <w:b/>
          <w:caps w:val="false"/>
          <w:smallCaps w:val="false"/>
          <w:sz w:val="20"/>
          <w:u w:val="single"/>
        </w:rPr>
        <w:t>Prospectus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reference herein to the Registration Statement, any Prospectus Supplement, the Prospectus or any Issuer Free Writing Prospectus shall be deemed to refer to and include the documents, if any, incorporated by reference therein (the “</w:t>
      </w:r>
      <w:r>
        <w:rPr>
          <w:rFonts w:ascii="Times New Roman" w:hAnsi="Times New Roman"/>
          <w:b/>
          <w:caps w:val="false"/>
          <w:smallCaps w:val="false"/>
          <w:sz w:val="20"/>
          <w:u w:val="single"/>
        </w:rPr>
        <w:t>Incorporated Documents</w:t>
      </w:r>
      <w:r>
        <w:rPr>
          <w:rFonts w:ascii="Times New Roman" w:hAnsi="Times New Roman"/>
          <w:caps w:val="false"/>
          <w:smallCaps w:val="false"/>
          <w:sz w:val="20"/>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hAnsi="Times New Roman"/>
          <w:b/>
          <w:caps w:val="false"/>
          <w:smallCaps w:val="false"/>
          <w:sz w:val="20"/>
          <w:u w:val="single"/>
        </w:rPr>
        <w:t>EDGAR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Placements</w:t>
            </w:r>
            <w:r>
              <w:rPr>
                <w:rFonts w:ascii="Times New Roman" w:hAnsi="Times New Roman"/>
                <w:caps w:val="false"/>
                <w:smallCaps w:val="false"/>
                <w:sz w:val="20"/>
              </w:rPr>
              <w:t>. Each time that the Company wishes to issue and sell Placement Shares hereunder (each, a “</w:t>
            </w:r>
            <w:r>
              <w:rPr>
                <w:rFonts w:ascii="Times New Roman" w:hAnsi="Times New Roman"/>
                <w:b/>
                <w:caps w:val="false"/>
                <w:smallCaps w:val="false"/>
                <w:sz w:val="20"/>
                <w:u w:val="single"/>
              </w:rPr>
              <w:t>Placement</w:t>
            </w:r>
            <w:r>
              <w:rPr>
                <w:rFonts w:ascii="Times New Roman" w:hAnsi="Times New Roman"/>
                <w:caps w:val="false"/>
                <w:smallCaps w:val="false"/>
                <w:sz w:val="20"/>
              </w:rPr>
              <w:t>”), it will notify the Agent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hAnsi="Times New Roman"/>
                <w:b/>
                <w:caps w:val="false"/>
                <w:smallCaps w:val="false"/>
                <w:sz w:val="20"/>
                <w:u w:val="single"/>
              </w:rPr>
              <w:t>Placement Notice</w:t>
            </w:r>
            <w:r>
              <w:rPr>
                <w:rFonts w:ascii="Times New Roman" w:hAnsi="Times New Roman"/>
                <w:caps w:val="false"/>
                <w:smallCaps w:val="false"/>
                <w:sz w:val="20"/>
              </w:rPr>
              <w:t>”), the form of which is attached hereto as </w:t>
            </w:r>
            <w:r>
              <w:rPr>
                <w:rFonts w:ascii="Times New Roman" w:hAnsi="Times New Roman"/>
                <w:caps w:val="false"/>
                <w:smallCaps w:val="false"/>
                <w:sz w:val="20"/>
                <w:u w:val="single"/>
              </w:rPr>
              <w:t>Schedule 1</w:t>
            </w:r>
            <w:r>
              <w:rPr>
                <w:rFonts w:ascii="Times New Roman" w:hAnsi="Times New Roman"/>
                <w:caps w:val="false"/>
                <w:smallCaps w:val="false"/>
                <w:sz w:val="20"/>
              </w:rPr>
              <w:t>. The Placement Notice shall originate from any of the individuals from the Company set forth on </w:t>
            </w:r>
            <w:r>
              <w:rPr>
                <w:rFonts w:ascii="Times New Roman" w:hAnsi="Times New Roman"/>
                <w:caps w:val="false"/>
                <w:smallCaps w:val="false"/>
                <w:sz w:val="20"/>
                <w:u w:val="single"/>
              </w:rPr>
              <w:t>Schedule 3</w:t>
            </w:r>
            <w:r>
              <w:rPr>
                <w:rFonts w:ascii="Times New Roman" w:hAnsi="Times New Roman"/>
                <w:caps w:val="false"/>
                <w:smallCaps w:val="false"/>
                <w:sz w:val="20"/>
              </w:rPr>
              <w:t> (with a copy to each of the other individuals from the Company listed on such schedule), and shall be addressed to each of the individuals from the Agent set forth on </w:t>
            </w:r>
            <w:r>
              <w:rPr>
                <w:rFonts w:ascii="Times New Roman" w:hAnsi="Times New Roman"/>
                <w:caps w:val="false"/>
                <w:smallCaps w:val="false"/>
                <w:sz w:val="20"/>
                <w:u w:val="single"/>
              </w:rPr>
              <w:t>Schedule 3</w:t>
            </w:r>
            <w:r>
              <w:rPr>
                <w:rFonts w:ascii="Times New Roman" w:hAnsi="Times New Roman"/>
                <w:caps w:val="false"/>
                <w:smallCaps w:val="false"/>
                <w:sz w:val="20"/>
              </w:rPr>
              <w:t>, as such </w:t>
            </w:r>
            <w:r>
              <w:rPr>
                <w:rFonts w:ascii="Times New Roman" w:hAnsi="Times New Roman"/>
                <w:caps w:val="false"/>
                <w:smallCaps w:val="false"/>
                <w:sz w:val="20"/>
                <w:u w:val="single"/>
              </w:rPr>
              <w:t>Schedule 3</w:t>
            </w:r>
            <w:r>
              <w:rPr>
                <w:rFonts w:ascii="Times New Roman" w:hAnsi="Times New Roman"/>
                <w:caps w:val="false"/>
                <w:smallCaps w:val="false"/>
                <w:sz w:val="20"/>
              </w:rPr>
              <w:t> may be amended from time to time. The Placement Notice shall be effective unless and until (i) the Agent declines to accept the terms contained therein for any reason, in its sole discretion, (ii) the entire amount of the Placement Shares thereunder have been sold, (iii) the Company suspends or terminates the Placement Notice (including, without limitation, by issuing a subsequent Placement Notice with parameters superseding those on an earlier dated Placement Notice) or (iv) this Agreement has been terminated under the provisions of </w:t>
            </w:r>
            <w:r>
              <w:rPr>
                <w:rFonts w:ascii="Times New Roman" w:hAnsi="Times New Roman"/>
                <w:caps w:val="false"/>
                <w:smallCaps w:val="false"/>
                <w:sz w:val="20"/>
                <w:u w:val="single"/>
              </w:rPr>
              <w:t>Section 12</w:t>
            </w:r>
            <w:r>
              <w:rPr>
                <w:rFonts w:ascii="Times New Roman" w:hAnsi="Times New Roman"/>
                <w:caps w:val="false"/>
                <w:smallCaps w:val="false"/>
                <w:sz w:val="20"/>
              </w:rPr>
              <w:t>. The amount of any discount, commission or other compensation to be paid by the Company to the Agent in connection with the sale of the Placement Shares shall be calculated in accordance with the terms set forth in </w:t>
            </w:r>
            <w:r>
              <w:rPr>
                <w:rFonts w:ascii="Times New Roman" w:hAnsi="Times New Roman"/>
                <w:caps w:val="false"/>
                <w:smallCaps w:val="false"/>
                <w:sz w:val="20"/>
                <w:u w:val="single"/>
              </w:rPr>
              <w:t>Schedule 2</w:t>
            </w:r>
            <w:r>
              <w:rPr>
                <w:rFonts w:ascii="Times New Roman" w:hAnsi="Times New Roman"/>
                <w:caps w:val="false"/>
                <w:smallCaps w:val="false"/>
                <w:sz w:val="20"/>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7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Sale of Placement Shares by the Agent</w:t>
            </w:r>
            <w:r>
              <w:rPr>
                <w:rFonts w:ascii="Times New Roman" w:hAnsi="Times New Roman"/>
                <w:caps w:val="false"/>
                <w:smallCaps w:val="false"/>
                <w:sz w:val="20"/>
              </w:rPr>
              <w:t>. Subject to the provisions of </w:t>
            </w:r>
            <w:r>
              <w:rPr>
                <w:rFonts w:ascii="Times New Roman" w:hAnsi="Times New Roman"/>
                <w:caps w:val="false"/>
                <w:smallCaps w:val="false"/>
                <w:sz w:val="20"/>
                <w:u w:val="single"/>
              </w:rPr>
              <w:t>Section 5(a)</w:t>
            </w:r>
            <w:r>
              <w:rPr>
                <w:rFonts w:ascii="Times New Roman" w:hAnsi="Times New Roman"/>
                <w:caps w:val="false"/>
                <w:smallCaps w:val="false"/>
                <w:sz w:val="20"/>
              </w:rPr>
              <w:t>, the Agent, for the period specified in the Placement Notice, will use its commercially reasonable efforts consistent with its normal trading and sales practices and applicable state and federal laws, rules and regulations and the rules of the Nasdaq Capital Market (the “</w:t>
            </w:r>
            <w:r>
              <w:rPr>
                <w:rFonts w:ascii="Times New Roman" w:hAnsi="Times New Roman"/>
                <w:b/>
                <w:caps w:val="false"/>
                <w:smallCaps w:val="false"/>
                <w:sz w:val="20"/>
                <w:u w:val="single"/>
              </w:rPr>
              <w:t>Exchange</w:t>
            </w:r>
            <w:r>
              <w:rPr>
                <w:rFonts w:ascii="Times New Roman" w:hAnsi="Times New Roman"/>
                <w:caps w:val="false"/>
                <w:smallCaps w:val="false"/>
                <w:sz w:val="20"/>
              </w:rPr>
              <w:t>”),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hAnsi="Times New Roman"/>
                <w:caps w:val="false"/>
                <w:smallCaps w:val="false"/>
                <w:sz w:val="20"/>
                <w:u w:val="single"/>
              </w:rPr>
              <w:t>Section 2</w:t>
            </w:r>
            <w:r>
              <w:rPr>
                <w:rFonts w:ascii="Times New Roman" w:hAnsi="Times New Roman"/>
                <w:caps w:val="false"/>
                <w:smallCaps w:val="false"/>
                <w:sz w:val="20"/>
              </w:rPr>
              <w:t> with respect to such sales, and the Net Proceeds (as defined below) payable to the Company, with an itemization of the deductions made by the Agent (as set forth in </w:t>
            </w:r>
            <w:r>
              <w:rPr>
                <w:rFonts w:ascii="Times New Roman" w:hAnsi="Times New Roman"/>
                <w:caps w:val="false"/>
                <w:smallCaps w:val="false"/>
                <w:sz w:val="20"/>
                <w:u w:val="single"/>
              </w:rPr>
              <w:t>Section 5(b)</w:t>
            </w:r>
            <w:r>
              <w:rPr>
                <w:rFonts w:ascii="Times New Roman" w:hAnsi="Times New Roman"/>
                <w:caps w:val="false"/>
                <w:smallCaps w:val="false"/>
                <w:sz w:val="20"/>
              </w:rPr>
              <w:t>) from the gross proceeds that it receives from such sales. Subject to the terms of the Placement Notice, the Agent may sell Placement Shares by any method permitted by law deemed to be an “at the market offering” as defined in Rule 415(a)(4) of the Securities Act Regulations. “</w:t>
            </w:r>
            <w:r>
              <w:rPr>
                <w:rFonts w:ascii="Times New Roman" w:hAnsi="Times New Roman"/>
                <w:b/>
                <w:caps w:val="false"/>
                <w:smallCaps w:val="false"/>
                <w:sz w:val="20"/>
                <w:u w:val="single"/>
              </w:rPr>
              <w:t>Trading Day</w:t>
            </w:r>
            <w:r>
              <w:rPr>
                <w:rFonts w:ascii="Times New Roman" w:hAnsi="Times New Roman"/>
                <w:caps w:val="false"/>
                <w:smallCaps w:val="false"/>
                <w:sz w:val="20"/>
              </w:rPr>
              <w:t>” means any day on which Common Stock is traded on the Exchange.</w:t>
            </w:r>
          </w:p>
        </w:tc>
      </w:tr>
      <w:tr>
        <w:trPr/>
        <w:tc>
          <w:tcPr>
            <w:tcW w:w="128" w:type="dxa"/>
            <w:tcBorders/>
            <w:vAlign w:val="center"/>
          </w:tcPr>
          <w:p>
            <w:pPr>
              <w:pStyle w:val="TableContents"/>
              <w:bidi w:val="0"/>
              <w:spacing w:before="0" w:after="283"/>
              <w:jc w:val="left"/>
              <w:rPr/>
            </w:pPr>
            <w:r>
              <w:rPr/>
              <w:t> </w:t>
            </w:r>
          </w:p>
        </w:tc>
        <w:tc>
          <w:tcPr>
            <w:tcW w:w="10077" w:type="dxa"/>
            <w:tcBorders/>
            <w:vAlign w:val="center"/>
          </w:tcPr>
          <w:p>
            <w:pPr>
              <w:pStyle w:val="TableContents"/>
              <w:bidi w:val="0"/>
              <w:spacing w:before="0" w:after="283"/>
              <w:jc w:val="left"/>
              <w:rPr/>
            </w:pPr>
            <w:r>
              <w:rPr/>
              <w:t> </w:t>
            </w:r>
          </w:p>
        </w:tc>
      </w:tr>
      <w:tr>
        <w:trPr/>
        <w:tc>
          <w:tcPr>
            <w:tcW w:w="1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7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Suspension of Sales</w:t>
            </w:r>
            <w:r>
              <w:rPr>
                <w:rFonts w:ascii="Times New Roman" w:hAnsi="Times New Roman"/>
                <w:caps w:val="false"/>
                <w:smallCaps w:val="false"/>
                <w:sz w:val="20"/>
              </w:rPr>
              <w:t>. The Company or the Agent may, upon notice to the other party in writing (including by email correspondence to each of the individuals of the other party set forth on </w:t>
            </w:r>
            <w:r>
              <w:rPr>
                <w:rFonts w:ascii="Times New Roman" w:hAnsi="Times New Roman"/>
                <w:caps w:val="false"/>
                <w:smallCaps w:val="false"/>
                <w:sz w:val="20"/>
                <w:u w:val="single"/>
              </w:rPr>
              <w:t>Schedule 3</w:t>
            </w:r>
            <w:r>
              <w:rPr>
                <w:rFonts w:ascii="Times New Roman" w:hAnsi="Times New Roman"/>
                <w:caps w:val="false"/>
                <w:smallCaps w:val="false"/>
                <w:sz w:val="20"/>
              </w:rPr>
              <w:t>,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hAnsi="Times New Roman"/>
                <w:caps w:val="false"/>
                <w:smallCaps w:val="false"/>
                <w:sz w:val="20"/>
                <w:u w:val="single"/>
              </w:rPr>
              <w:t>Schedule 3</w:t>
            </w:r>
            <w:r>
              <w:rPr>
                <w:rFonts w:ascii="Times New Roman" w:hAnsi="Times New Roman"/>
                <w:caps w:val="false"/>
                <w:smallCaps w:val="false"/>
                <w:sz w:val="20"/>
              </w:rPr>
              <w:t>), suspend any sale of Placement Shares (a “</w:t>
            </w:r>
            <w:r>
              <w:rPr>
                <w:rFonts w:ascii="Times New Roman" w:hAnsi="Times New Roman"/>
                <w:b/>
                <w:caps w:val="false"/>
                <w:smallCaps w:val="false"/>
                <w:sz w:val="20"/>
                <w:u w:val="single"/>
              </w:rPr>
              <w:t>Suspension</w:t>
            </w:r>
            <w:r>
              <w:rPr>
                <w:rFonts w:ascii="Times New Roman" w:hAnsi="Times New Roman"/>
                <w:caps w:val="false"/>
                <w:smallCaps w:val="false"/>
                <w:sz w:val="20"/>
              </w:rPr>
              <w:t>”);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such Suspension shall not affect or impair any party’s obligations with respect to any Placement Shares sold hereunder prior to the receipt of such notice. While a Suspension is in effect any obligation under </w:t>
            </w:r>
            <w:r>
              <w:rPr>
                <w:rFonts w:ascii="Times New Roman" w:hAnsi="Times New Roman"/>
                <w:caps w:val="false"/>
                <w:smallCaps w:val="false"/>
                <w:sz w:val="20"/>
                <w:u w:val="single"/>
              </w:rPr>
              <w:t>Sections 7(l)</w:t>
            </w:r>
            <w:r>
              <w:rPr>
                <w:rFonts w:ascii="Times New Roman" w:hAnsi="Times New Roman"/>
                <w:caps w:val="false"/>
                <w:smallCaps w:val="false"/>
                <w:sz w:val="20"/>
              </w:rPr>
              <w:t>, </w:t>
            </w:r>
            <w:r>
              <w:rPr>
                <w:rFonts w:ascii="Times New Roman" w:hAnsi="Times New Roman"/>
                <w:caps w:val="false"/>
                <w:smallCaps w:val="false"/>
                <w:sz w:val="20"/>
                <w:u w:val="single"/>
              </w:rPr>
              <w:t>7(m)</w:t>
            </w:r>
            <w:r>
              <w:rPr>
                <w:rFonts w:ascii="Times New Roman" w:hAnsi="Times New Roman"/>
                <w:caps w:val="false"/>
                <w:smallCaps w:val="false"/>
                <w:sz w:val="20"/>
              </w:rPr>
              <w:t>, and </w:t>
            </w:r>
            <w:r>
              <w:rPr>
                <w:rFonts w:ascii="Times New Roman" w:hAnsi="Times New Roman"/>
                <w:caps w:val="false"/>
                <w:smallCaps w:val="false"/>
                <w:sz w:val="20"/>
                <w:u w:val="single"/>
              </w:rPr>
              <w:t>7(n)</w:t>
            </w:r>
            <w:r>
              <w:rPr>
                <w:rFonts w:ascii="Times New Roman" w:hAnsi="Times New Roman"/>
                <w:caps w:val="false"/>
                <w:smallCaps w:val="false"/>
                <w:sz w:val="20"/>
              </w:rPr>
              <w:t> with respect to the delivery of certificates, opinions, or comfort letters to the Agent, shall be waived. Each of the parties agrees that no such notice under this </w:t>
            </w:r>
            <w:r>
              <w:rPr>
                <w:rFonts w:ascii="Times New Roman" w:hAnsi="Times New Roman"/>
                <w:caps w:val="false"/>
                <w:smallCaps w:val="false"/>
                <w:sz w:val="20"/>
                <w:u w:val="single"/>
              </w:rPr>
              <w:t>Section 4</w:t>
            </w:r>
            <w:r>
              <w:rPr>
                <w:rFonts w:ascii="Times New Roman" w:hAnsi="Times New Roman"/>
                <w:caps w:val="false"/>
                <w:smallCaps w:val="false"/>
                <w:sz w:val="20"/>
              </w:rPr>
              <w:t> shall be effective against any other party unless it is made to one of the individuals named on </w:t>
            </w:r>
            <w:r>
              <w:rPr>
                <w:rFonts w:ascii="Times New Roman" w:hAnsi="Times New Roman"/>
                <w:caps w:val="false"/>
                <w:smallCaps w:val="false"/>
                <w:sz w:val="20"/>
                <w:u w:val="single"/>
              </w:rPr>
              <w:t>Schedule 3</w:t>
            </w:r>
            <w:r>
              <w:rPr>
                <w:rFonts w:ascii="Times New Roman" w:hAnsi="Times New Roman"/>
                <w:caps w:val="false"/>
                <w:smallCaps w:val="false"/>
                <w:sz w:val="20"/>
              </w:rPr>
              <w:t> hereto, as such Schedule may be amended from time to time. 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(iii) the Agent shall not be obligated to sell or offer to sell any Placement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700" w:type="dxa"/>
        <w:jc w:val="left"/>
        <w:tblInd w:w="0" w:type="dxa"/>
        <w:tblLayout w:type="fixed"/>
        <w:tblCellMar>
          <w:top w:w="0" w:type="dxa"/>
          <w:left w:w="0" w:type="dxa"/>
          <w:bottom w:w="0" w:type="dxa"/>
          <w:right w:w="0" w:type="dxa"/>
        </w:tblCellMar>
      </w:tblPr>
      <w:tblGrid>
        <w:gridCol w:w="170"/>
        <w:gridCol w:w="3530"/>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3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Sale and Delivery to the Agent; Settlement</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Sale of Placement Shares</w:t>
            </w:r>
            <w:r>
              <w:rPr>
                <w:rFonts w:ascii="Times New Roman" w:hAnsi="Times New Roman"/>
                <w:i/>
                <w:caps w:val="false"/>
                <w:smallCaps w:val="false"/>
                <w:sz w:val="20"/>
              </w:rPr>
              <w:t>.</w:t>
            </w:r>
            <w:r>
              <w:rPr>
                <w:rFonts w:ascii="Times New Roman" w:hAnsi="Times New Roman"/>
                <w:caps w:val="false"/>
                <w:smallCaps w:val="false"/>
                <w:sz w:val="20"/>
              </w:rPr>
              <w:t>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tc>
      </w:tr>
      <w:tr>
        <w:trPr/>
        <w:tc>
          <w:tcPr>
            <w:tcW w:w="189" w:type="dxa"/>
            <w:tcBorders/>
            <w:vAlign w:val="center"/>
          </w:tcPr>
          <w:p>
            <w:pPr>
              <w:pStyle w:val="TableContents"/>
              <w:bidi w:val="0"/>
              <w:spacing w:before="0" w:after="283"/>
              <w:jc w:val="left"/>
              <w:rPr/>
            </w:pPr>
            <w:r>
              <w:rPr/>
              <w:t> </w:t>
            </w:r>
          </w:p>
        </w:tc>
        <w:tc>
          <w:tcPr>
            <w:tcW w:w="10016"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Settlement of Placement Shares</w:t>
            </w:r>
            <w:r>
              <w:rPr>
                <w:rFonts w:ascii="Times New Roman" w:hAnsi="Times New Roman"/>
                <w:i/>
                <w:caps w:val="false"/>
                <w:smallCaps w:val="false"/>
                <w:sz w:val="20"/>
              </w:rPr>
              <w:t>.</w:t>
            </w:r>
            <w:r>
              <w:rPr>
                <w:rFonts w:ascii="Times New Roman" w:hAnsi="Times New Roman"/>
                <w:caps w:val="false"/>
                <w:smallCaps w:val="false"/>
                <w:sz w:val="20"/>
              </w:rPr>
              <w:t> Unless otherwise specified in the applicable Placement Notice, settlement for sales of Placement Shares will occur on the first (1st) Trading Day following the date on which such sales are made (each, a “</w:t>
            </w:r>
            <w:r>
              <w:rPr>
                <w:rFonts w:ascii="Times New Roman" w:hAnsi="Times New Roman"/>
                <w:b/>
                <w:caps w:val="false"/>
                <w:smallCaps w:val="false"/>
                <w:sz w:val="20"/>
                <w:u w:val="single"/>
              </w:rPr>
              <w:t>Settlement Date</w:t>
            </w:r>
            <w:r>
              <w:rPr>
                <w:rFonts w:ascii="Times New Roman" w:hAnsi="Times New Roman"/>
                <w:caps w:val="false"/>
                <w:smallCaps w:val="false"/>
                <w:sz w:val="20"/>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hAnsi="Times New Roman"/>
                <w:b/>
                <w:caps w:val="false"/>
                <w:smallCaps w:val="false"/>
                <w:sz w:val="20"/>
                <w:u w:val="single"/>
              </w:rPr>
              <w:t>Net Proceeds</w:t>
            </w:r>
            <w:r>
              <w:rPr>
                <w:rFonts w:ascii="Times New Roman" w:hAnsi="Times New Roman"/>
                <w:caps w:val="false"/>
                <w:smallCaps w:val="false"/>
                <w:sz w:val="20"/>
              </w:rPr>
              <w:t>”) will be equal to the aggregate sales price received by the Agent, after deduction for (i) the Agent’s commission, discount or other compensation for such sales payable by the Company pursuant to </w:t>
            </w:r>
            <w:r>
              <w:rPr>
                <w:rFonts w:ascii="Times New Roman" w:hAnsi="Times New Roman"/>
                <w:caps w:val="false"/>
                <w:smallCaps w:val="false"/>
                <w:sz w:val="20"/>
                <w:u w:val="single"/>
              </w:rPr>
              <w:t>Section 2</w:t>
            </w:r>
            <w:r>
              <w:rPr>
                <w:rFonts w:ascii="Times New Roman" w:hAnsi="Times New Roman"/>
                <w:caps w:val="false"/>
                <w:smallCaps w:val="false"/>
                <w:sz w:val="20"/>
              </w:rPr>
              <w:t> hereof, and (ii) any transaction fees imposed by any Governmental Authority in respect of such sales.</w:t>
            </w:r>
          </w:p>
        </w:tc>
      </w:tr>
      <w:tr>
        <w:trPr/>
        <w:tc>
          <w:tcPr>
            <w:tcW w:w="189" w:type="dxa"/>
            <w:tcBorders/>
            <w:vAlign w:val="center"/>
          </w:tcPr>
          <w:p>
            <w:pPr>
              <w:pStyle w:val="TableContents"/>
              <w:bidi w:val="0"/>
              <w:spacing w:before="0" w:after="283"/>
              <w:jc w:val="left"/>
              <w:rPr/>
            </w:pPr>
            <w:r>
              <w:rPr/>
              <w:t> </w:t>
            </w:r>
          </w:p>
        </w:tc>
        <w:tc>
          <w:tcPr>
            <w:tcW w:w="10016"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Delivery of Placement Shares</w:t>
            </w:r>
            <w:r>
              <w:rPr>
                <w:rFonts w:ascii="Times New Roman" w:hAnsi="Times New Roman"/>
                <w:caps w:val="false"/>
                <w:smallCaps w:val="false"/>
                <w:sz w:val="20"/>
              </w:rPr>
              <w:t>. On or before each Settlement Date, the Company will, or will cause its transfer agent to, electronically transfer the Placement Shares being sold by crediting the Agent’s or its designee’s account (provided the Agent shall have given the Company written notice of such designee on (in which case no later than the opening of trading on the Exchange on such date) or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Times New Roman" w:hAnsi="Times New Roman"/>
                <w:caps w:val="false"/>
                <w:smallCaps w:val="false"/>
                <w:sz w:val="20"/>
                <w:u w:val="single"/>
              </w:rPr>
              <w:t>Section 10(a)</w:t>
            </w:r>
            <w:r>
              <w:rPr>
                <w:rFonts w:ascii="Times New Roman" w:hAnsi="Times New Roman"/>
                <w:caps w:val="false"/>
                <w:smallCaps w:val="false"/>
                <w:sz w:val="20"/>
              </w:rPr>
              <w:t> hereto, it will (i) hold the Agent harmless against any loss, claim, damage, or expense (including reasonable and documented legal fees and expenses), as incurred, arising out of or in connection with such default by the Company or its transfer agent (if applicable) and (ii) pay to the Agent any commission, discount, or other compensation to which it would otherwise have been entitled absent such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Denominations; Registration</w:t>
            </w:r>
            <w:r>
              <w:rPr>
                <w:rFonts w:ascii="Times New Roman" w:hAnsi="Times New Roman"/>
                <w:i/>
                <w:caps w:val="false"/>
                <w:smallCaps w:val="false"/>
                <w:sz w:val="20"/>
              </w:rPr>
              <w:t>.</w:t>
            </w:r>
            <w:r>
              <w:rPr>
                <w:rFonts w:ascii="Times New Roman" w:hAnsi="Times New Roman"/>
                <w:caps w:val="false"/>
                <w:smallCaps w:val="false"/>
                <w:sz w:val="20"/>
              </w:rPr>
              <w:t> The Placement Shares shall be issued in book-entry and registered in such names as the Agent may request in writing at least one full Business Day (as defined below) before the applicable Settlement Date.</w:t>
            </w:r>
          </w:p>
        </w:tc>
      </w:tr>
      <w:tr>
        <w:trPr/>
        <w:tc>
          <w:tcPr>
            <w:tcW w:w="187" w:type="dxa"/>
            <w:tcBorders/>
            <w:vAlign w:val="center"/>
          </w:tcPr>
          <w:p>
            <w:pPr>
              <w:pStyle w:val="TableContents"/>
              <w:bidi w:val="0"/>
              <w:spacing w:before="0" w:after="283"/>
              <w:jc w:val="left"/>
              <w:rPr/>
            </w:pPr>
            <w:r>
              <w:rPr/>
              <w:t> </w:t>
            </w:r>
          </w:p>
        </w:tc>
        <w:tc>
          <w:tcPr>
            <w:tcW w:w="10018" w:type="dxa"/>
            <w:tcBorders/>
            <w:vAlign w:val="center"/>
          </w:tcPr>
          <w:p>
            <w:pPr>
              <w:pStyle w:val="TableContents"/>
              <w:bidi w:val="0"/>
              <w:spacing w:before="0" w:after="283"/>
              <w:jc w:val="left"/>
              <w:rPr/>
            </w:pPr>
            <w:r>
              <w:rPr/>
              <w:t> </w:t>
            </w:r>
          </w:p>
        </w:tc>
      </w:tr>
      <w:tr>
        <w:trPr/>
        <w:tc>
          <w:tcPr>
            <w:tcW w:w="1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00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Limitations on Offering Size</w:t>
            </w:r>
            <w:r>
              <w:rPr>
                <w:rFonts w:ascii="Times New Roman" w:hAnsi="Times New Roman"/>
                <w:i/>
                <w:caps w:val="false"/>
                <w:smallCaps w:val="false"/>
                <w:sz w:val="20"/>
              </w:rPr>
              <w:t>.</w:t>
            </w:r>
            <w:r>
              <w:rPr>
                <w:rFonts w:ascii="Times New Roman" w:hAnsi="Times New Roman"/>
                <w:caps w:val="false"/>
                <w:smallCaps w:val="false"/>
                <w:sz w:val="20"/>
              </w:rPr>
              <w:t>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one or more duly authorized executive officers of the Company, acting individually or together,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tc>
      </w:tr>
      <w:tr>
        <w:trPr/>
        <w:tc>
          <w:tcPr>
            <w:tcW w:w="187" w:type="dxa"/>
            <w:tcBorders/>
            <w:vAlign w:val="center"/>
          </w:tcPr>
          <w:p>
            <w:pPr>
              <w:pStyle w:val="TableContents"/>
              <w:bidi w:val="0"/>
              <w:spacing w:before="0" w:after="283"/>
              <w:jc w:val="left"/>
              <w:rPr/>
            </w:pPr>
            <w:r>
              <w:rPr/>
              <w:t> </w:t>
            </w:r>
          </w:p>
        </w:tc>
        <w:tc>
          <w:tcPr>
            <w:tcW w:w="10018" w:type="dxa"/>
            <w:tcBorders/>
            <w:vAlign w:val="center"/>
          </w:tcPr>
          <w:p>
            <w:pPr>
              <w:pStyle w:val="TableContents"/>
              <w:bidi w:val="0"/>
              <w:spacing w:before="0" w:after="283"/>
              <w:jc w:val="left"/>
              <w:rPr/>
            </w:pPr>
            <w:r>
              <w:rPr/>
              <w:t> </w:t>
            </w:r>
          </w:p>
        </w:tc>
      </w:tr>
      <w:tr>
        <w:trPr/>
        <w:tc>
          <w:tcPr>
            <w:tcW w:w="1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100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Representations and Warranties of the Company</w:t>
            </w:r>
            <w:r>
              <w:rPr>
                <w:rFonts w:ascii="Times New Roman" w:hAnsi="Times New Roman"/>
                <w:caps w:val="false"/>
                <w:smallCaps w:val="false"/>
                <w:sz w:val="20"/>
              </w:rPr>
              <w:t>. The Company represents and warrants to, and agrees with the Agent that as of the date of this Agreement and as of each Applicable Time (as defined below):</w:t>
            </w:r>
          </w:p>
        </w:tc>
      </w:tr>
      <w:tr>
        <w:trPr/>
        <w:tc>
          <w:tcPr>
            <w:tcW w:w="187" w:type="dxa"/>
            <w:tcBorders/>
            <w:vAlign w:val="center"/>
          </w:tcPr>
          <w:p>
            <w:pPr>
              <w:pStyle w:val="TableContents"/>
              <w:bidi w:val="0"/>
              <w:spacing w:before="0" w:after="283"/>
              <w:jc w:val="left"/>
              <w:rPr/>
            </w:pPr>
            <w:r>
              <w:rPr/>
              <w:t> </w:t>
            </w:r>
          </w:p>
        </w:tc>
        <w:tc>
          <w:tcPr>
            <w:tcW w:w="10018" w:type="dxa"/>
            <w:tcBorders/>
            <w:vAlign w:val="center"/>
          </w:tcPr>
          <w:p>
            <w:pPr>
              <w:pStyle w:val="TableContents"/>
              <w:bidi w:val="0"/>
              <w:spacing w:before="0" w:after="283"/>
              <w:jc w:val="left"/>
              <w:rPr/>
            </w:pPr>
            <w:r>
              <w:rPr/>
              <w:t> </w:t>
            </w:r>
          </w:p>
        </w:tc>
      </w:tr>
      <w:tr>
        <w:trPr/>
        <w:tc>
          <w:tcPr>
            <w:tcW w:w="1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Registration Statement and Prospectus</w:t>
            </w:r>
            <w:r>
              <w:rPr>
                <w:rFonts w:ascii="Times New Roman" w:hAnsi="Times New Roman"/>
                <w:caps w:val="false"/>
                <w:smallCaps w:val="false"/>
                <w:sz w:val="20"/>
              </w:rPr>
              <w:t>. The Company and the transactions contemplated by this Agreement meet the requirements for and comply with the applicable conditions set forth in Form S-3 (including General Instructions I.A and I.B) under the Securities Act. The Registration Statement has been or will be filed with the Commission and will be declared effective by the Commission, or will otherwise become effective, under the Securities Act prior to the issuance of any Placement Notices by the Company. As of each Applicable Time, the Registration Statement is effective.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in all material respects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 has consented. The Common Stock is registered pursuant to Section 12(b) of the Exchange Act and is currently listed on the Exchange under the trading symbol “SAVA.” Except in each case as disclosed in the Registration Statement or the Prospectus,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Misstatement or Omission</w:t>
            </w:r>
            <w:r>
              <w:rPr>
                <w:rFonts w:ascii="Times New Roman" w:hAnsi="Times New Roman"/>
                <w:caps w:val="false"/>
                <w:smallCaps w:val="false"/>
                <w:sz w:val="20"/>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or supplement thereto, on the date thereof and at each Applicable Time (as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in writing specifically for use in the preparation thereof, it being understood and agreed that the only such information furnished by the Agent to the Company consists of “Agent Information” as defined below.</w:t>
            </w:r>
          </w:p>
        </w:tc>
      </w:tr>
      <w:tr>
        <w:trPr/>
        <w:tc>
          <w:tcPr>
            <w:tcW w:w="187" w:type="dxa"/>
            <w:tcBorders/>
            <w:vAlign w:val="center"/>
          </w:tcPr>
          <w:p>
            <w:pPr>
              <w:pStyle w:val="TableContents"/>
              <w:bidi w:val="0"/>
              <w:spacing w:before="0" w:after="283"/>
              <w:jc w:val="left"/>
              <w:rPr/>
            </w:pPr>
            <w:r>
              <w:rPr/>
              <w:t> </w:t>
            </w:r>
          </w:p>
        </w:tc>
        <w:tc>
          <w:tcPr>
            <w:tcW w:w="10018" w:type="dxa"/>
            <w:tcBorders/>
            <w:vAlign w:val="center"/>
          </w:tcPr>
          <w:p>
            <w:pPr>
              <w:pStyle w:val="TableContents"/>
              <w:bidi w:val="0"/>
              <w:spacing w:before="0" w:after="283"/>
              <w:jc w:val="left"/>
              <w:rPr/>
            </w:pPr>
            <w:r>
              <w:rPr/>
              <w:t> </w:t>
            </w:r>
          </w:p>
        </w:tc>
      </w:tr>
      <w:tr>
        <w:trPr/>
        <w:tc>
          <w:tcPr>
            <w:tcW w:w="1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Conformity with the Securities Act and Exchange Act</w:t>
            </w:r>
            <w:r>
              <w:rPr>
                <w:rFonts w:ascii="Times New Roman" w:hAnsi="Times New Roman"/>
                <w:caps w:val="false"/>
                <w:smallCaps w:val="false"/>
                <w:sz w:val="20"/>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tc>
      </w:tr>
      <w:tr>
        <w:trPr/>
        <w:tc>
          <w:tcPr>
            <w:tcW w:w="187" w:type="dxa"/>
            <w:tcBorders/>
            <w:vAlign w:val="center"/>
          </w:tcPr>
          <w:p>
            <w:pPr>
              <w:pStyle w:val="TableContents"/>
              <w:bidi w:val="0"/>
              <w:spacing w:before="0" w:after="283"/>
              <w:jc w:val="left"/>
              <w:rPr/>
            </w:pPr>
            <w:r>
              <w:rPr/>
              <w:t> </w:t>
            </w:r>
          </w:p>
        </w:tc>
        <w:tc>
          <w:tcPr>
            <w:tcW w:w="10018" w:type="dxa"/>
            <w:tcBorders/>
            <w:vAlign w:val="center"/>
          </w:tcPr>
          <w:p>
            <w:pPr>
              <w:pStyle w:val="TableContents"/>
              <w:bidi w:val="0"/>
              <w:spacing w:before="0" w:after="283"/>
              <w:jc w:val="left"/>
              <w:rPr/>
            </w:pPr>
            <w:r>
              <w:rPr/>
              <w:t> </w:t>
            </w:r>
          </w:p>
        </w:tc>
      </w:tr>
      <w:tr>
        <w:trPr/>
        <w:tc>
          <w:tcPr>
            <w:tcW w:w="1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Financial Information</w:t>
            </w:r>
            <w:r>
              <w:rPr>
                <w:rFonts w:ascii="Times New Roman" w:hAnsi="Times New Roman"/>
                <w:caps w:val="false"/>
                <w:smallCaps w:val="false"/>
                <w:sz w:val="20"/>
              </w:rPr>
              <w:t>. The consolidated financial statements of the Company included or incorporated by reference in the Registration Statement, the Prospectus and the Issuer Free Writing Prospectuses, if any,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and have been prepared in compliance with the requirements of the Securities Act and Exchange Act and in conformity with U.S. Generally Accepted Accounting Principles (“</w:t>
            </w:r>
            <w:r>
              <w:rPr>
                <w:rFonts w:ascii="Times New Roman" w:hAnsi="Times New Roman"/>
                <w:b/>
                <w:caps w:val="false"/>
                <w:smallCaps w:val="false"/>
                <w:sz w:val="20"/>
                <w:u w:val="single"/>
              </w:rPr>
              <w:t>GAAP</w:t>
            </w:r>
            <w:r>
              <w:rPr>
                <w:rFonts w:ascii="Times New Roman" w:hAnsi="Times New Roman"/>
                <w:caps w:val="false"/>
                <w:smallCaps w:val="false"/>
                <w:sz w:val="20"/>
              </w:rPr>
              <w:t>”) applied on a consistent basis during the periods involved, except (i) the unaudited interim financial statements, which are subject to normal year-end adjustments and do not contain certain footnotes, as permitted by the applicable rules of the Commission and (ii) as otherwise disclosed therein; the other financial and statistical data with respect to the Company and the Subsidiaries (as defined below) contained or incorporated by reference in the Registration Statement, the Prospectus and the Issuer Free Writing Prospectuses, if any,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0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Conformity with EDGAR Filing</w:t>
            </w:r>
            <w:r>
              <w:rPr>
                <w:rFonts w:ascii="Times New Roman" w:hAnsi="Times New Roman"/>
                <w:caps w:val="false"/>
                <w:smallCaps w:val="false"/>
                <w:sz w:val="20"/>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tc>
      </w:tr>
      <w:tr>
        <w:trPr/>
        <w:tc>
          <w:tcPr>
            <w:tcW w:w="190" w:type="dxa"/>
            <w:tcBorders/>
            <w:vAlign w:val="center"/>
          </w:tcPr>
          <w:p>
            <w:pPr>
              <w:pStyle w:val="TableContents"/>
              <w:bidi w:val="0"/>
              <w:spacing w:before="0" w:after="283"/>
              <w:jc w:val="left"/>
              <w:rPr/>
            </w:pPr>
            <w:r>
              <w:rPr/>
              <w:t> </w:t>
            </w:r>
          </w:p>
        </w:tc>
        <w:tc>
          <w:tcPr>
            <w:tcW w:w="10015" w:type="dxa"/>
            <w:tcBorders/>
            <w:vAlign w:val="center"/>
          </w:tcPr>
          <w:p>
            <w:pPr>
              <w:pStyle w:val="TableContents"/>
              <w:bidi w:val="0"/>
              <w:spacing w:before="0" w:after="283"/>
              <w:jc w:val="left"/>
              <w:rPr/>
            </w:pPr>
            <w:r>
              <w:rPr/>
              <w:t> </w:t>
            </w:r>
          </w:p>
        </w:tc>
      </w:tr>
      <w:tr>
        <w:trPr/>
        <w:tc>
          <w:tcPr>
            <w:tcW w:w="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Organization</w:t>
            </w:r>
            <w:r>
              <w:rPr>
                <w:rFonts w:ascii="Times New Roman" w:hAnsi="Times New Roman"/>
                <w:caps w:val="false"/>
                <w:smallCaps w:val="false"/>
                <w:sz w:val="20"/>
              </w:rPr>
              <w:t>. The Company and each of its Subsidiaries are duly organized, validly existing as a corporation or other legal entity and in good standing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hAnsi="Times New Roman"/>
                <w:b/>
                <w:caps w:val="false"/>
                <w:smallCaps w:val="false"/>
                <w:sz w:val="20"/>
                <w:u w:val="single"/>
              </w:rPr>
              <w:t>Material Adverse Effect</w:t>
            </w:r>
            <w:r>
              <w:rPr>
                <w:rFonts w:ascii="Times New Roman" w:hAnsi="Times New Roman"/>
                <w:caps w:val="false"/>
                <w:smallCaps w:val="false"/>
                <w:sz w:val="20"/>
              </w:rPr>
              <w:t>”).</w:t>
            </w:r>
          </w:p>
        </w:tc>
      </w:tr>
      <w:tr>
        <w:trPr/>
        <w:tc>
          <w:tcPr>
            <w:tcW w:w="190" w:type="dxa"/>
            <w:tcBorders/>
            <w:vAlign w:val="center"/>
          </w:tcPr>
          <w:p>
            <w:pPr>
              <w:pStyle w:val="TableContents"/>
              <w:bidi w:val="0"/>
              <w:spacing w:before="0" w:after="283"/>
              <w:jc w:val="left"/>
              <w:rPr/>
            </w:pPr>
            <w:r>
              <w:rPr/>
              <w:t> </w:t>
            </w:r>
          </w:p>
        </w:tc>
        <w:tc>
          <w:tcPr>
            <w:tcW w:w="10015" w:type="dxa"/>
            <w:tcBorders/>
            <w:vAlign w:val="center"/>
          </w:tcPr>
          <w:p>
            <w:pPr>
              <w:pStyle w:val="TableContents"/>
              <w:bidi w:val="0"/>
              <w:spacing w:before="0" w:after="283"/>
              <w:jc w:val="left"/>
              <w:rPr/>
            </w:pPr>
            <w:r>
              <w:rPr/>
              <w:t> </w:t>
            </w:r>
          </w:p>
        </w:tc>
      </w:tr>
      <w:tr>
        <w:trPr/>
        <w:tc>
          <w:tcPr>
            <w:tcW w:w="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10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Subsidiaries</w:t>
            </w:r>
            <w:r>
              <w:rPr>
                <w:rFonts w:ascii="Times New Roman" w:hAnsi="Times New Roman"/>
                <w:caps w:val="false"/>
                <w:smallCaps w:val="false"/>
                <w:sz w:val="20"/>
              </w:rPr>
              <w:t>. The subsidiaries set forth on </w:t>
            </w:r>
            <w:r>
              <w:rPr>
                <w:rFonts w:ascii="Times New Roman" w:hAnsi="Times New Roman"/>
                <w:caps w:val="false"/>
                <w:smallCaps w:val="false"/>
                <w:sz w:val="20"/>
                <w:u w:val="single"/>
              </w:rPr>
              <w:t>Schedule 4</w:t>
            </w:r>
            <w:r>
              <w:rPr>
                <w:rFonts w:ascii="Times New Roman" w:hAnsi="Times New Roman"/>
                <w:caps w:val="false"/>
                <w:smallCaps w:val="false"/>
                <w:sz w:val="20"/>
              </w:rPr>
              <w:t> (collectively, the “</w:t>
            </w:r>
            <w:r>
              <w:rPr>
                <w:rFonts w:ascii="Times New Roman" w:hAnsi="Times New Roman"/>
                <w:b/>
                <w:caps w:val="false"/>
                <w:smallCaps w:val="false"/>
                <w:sz w:val="20"/>
                <w:u w:val="single"/>
              </w:rPr>
              <w:t>Subsidiaries</w:t>
            </w:r>
            <w:r>
              <w:rPr>
                <w:rFonts w:ascii="Times New Roman" w:hAnsi="Times New Roman"/>
                <w:caps w:val="false"/>
                <w:smallCaps w:val="false"/>
                <w:sz w:val="20"/>
              </w:rPr>
              <w:t>”), are the Company’s only significant subsidiaries (as such term is defined in Rule 1-02 of Regulation S-X promulgated by the Commission).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Violation or Default</w:t>
            </w:r>
            <w:r>
              <w:rPr>
                <w:rFonts w:ascii="Times New Roman" w:hAnsi="Times New Roman"/>
                <w:caps w:val="false"/>
                <w:smallCaps w:val="false"/>
                <w:sz w:val="20"/>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Governmental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of its Subsidiaries is a party is in default in any respect thereunder where such default would have a Material Adverse Effect.</w:t>
            </w:r>
          </w:p>
        </w:tc>
      </w:tr>
      <w:tr>
        <w:trPr/>
        <w:tc>
          <w:tcPr>
            <w:tcW w:w="189" w:type="dxa"/>
            <w:tcBorders/>
            <w:vAlign w:val="center"/>
          </w:tcPr>
          <w:p>
            <w:pPr>
              <w:pStyle w:val="TableContents"/>
              <w:bidi w:val="0"/>
              <w:spacing w:before="0" w:after="283"/>
              <w:jc w:val="left"/>
              <w:rPr/>
            </w:pPr>
            <w:r>
              <w:rPr/>
              <w:t> </w:t>
            </w:r>
          </w:p>
        </w:tc>
        <w:tc>
          <w:tcPr>
            <w:tcW w:w="10016"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Material Adverse Effect</w:t>
            </w:r>
            <w:r>
              <w:rPr>
                <w:rFonts w:ascii="Times New Roman" w:hAnsi="Times New Roman"/>
                <w:caps w:val="false"/>
                <w:smallCaps w:val="false"/>
                <w:sz w:val="20"/>
              </w:rPr>
              <w:t>. Subsequent to the respective dates as of which information is given in the Registration Statement, the Prospectus and the Issuer Free Writing Prospectuses, if any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tc>
      </w:tr>
      <w:tr>
        <w:trPr/>
        <w:tc>
          <w:tcPr>
            <w:tcW w:w="189" w:type="dxa"/>
            <w:tcBorders/>
            <w:vAlign w:val="center"/>
          </w:tcPr>
          <w:p>
            <w:pPr>
              <w:pStyle w:val="TableContents"/>
              <w:bidi w:val="0"/>
              <w:spacing w:before="0" w:after="283"/>
              <w:jc w:val="left"/>
              <w:rPr/>
            </w:pPr>
            <w:r>
              <w:rPr/>
              <w:t> </w:t>
            </w:r>
          </w:p>
        </w:tc>
        <w:tc>
          <w:tcPr>
            <w:tcW w:w="10016" w:type="dxa"/>
            <w:tcBorders/>
            <w:vAlign w:val="center"/>
          </w:tcPr>
          <w:p>
            <w:pPr>
              <w:pStyle w:val="TableContents"/>
              <w:bidi w:val="0"/>
              <w:spacing w:before="0" w:after="283"/>
              <w:jc w:val="left"/>
              <w:rPr/>
            </w:pPr>
            <w:r>
              <w:rPr/>
              <w:t> </w:t>
            </w:r>
          </w:p>
        </w:tc>
      </w:tr>
      <w:tr>
        <w:trPr/>
        <w:tc>
          <w:tcPr>
            <w:tcW w:w="1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Capitalization</w:t>
            </w:r>
            <w:r>
              <w:rPr>
                <w:rFonts w:ascii="Times New Roman" w:hAnsi="Times New Roman"/>
                <w:caps w:val="false"/>
                <w:smallCaps w:val="false"/>
                <w:sz w:val="20"/>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equity awards under the Company’s equity incentive plans described in the Registration Statement or the Prospectus,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9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Authorization; Enforceability</w:t>
            </w:r>
            <w:r>
              <w:rPr>
                <w:rFonts w:ascii="Times New Roman" w:hAnsi="Times New Roman"/>
                <w:caps w:val="false"/>
                <w:smallCaps w:val="false"/>
                <w:sz w:val="20"/>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w:t>
            </w:r>
          </w:p>
        </w:tc>
      </w:tr>
      <w:tr>
        <w:trPr/>
        <w:tc>
          <w:tcPr>
            <w:tcW w:w="234" w:type="dxa"/>
            <w:tcBorders/>
            <w:vAlign w:val="center"/>
          </w:tcPr>
          <w:p>
            <w:pPr>
              <w:pStyle w:val="TableContents"/>
              <w:bidi w:val="0"/>
              <w:spacing w:before="0" w:after="283"/>
              <w:jc w:val="left"/>
              <w:rPr/>
            </w:pPr>
            <w:r>
              <w:rPr/>
              <w:t> </w:t>
            </w:r>
          </w:p>
        </w:tc>
        <w:tc>
          <w:tcPr>
            <w:tcW w:w="9971" w:type="dxa"/>
            <w:tcBorders/>
            <w:vAlign w:val="center"/>
          </w:tcPr>
          <w:p>
            <w:pPr>
              <w:pStyle w:val="TableContents"/>
              <w:bidi w:val="0"/>
              <w:spacing w:before="0" w:after="283"/>
              <w:jc w:val="left"/>
              <w:rPr/>
            </w:pPr>
            <w:r>
              <w:rPr/>
              <w:t> </w:t>
            </w:r>
          </w:p>
        </w:tc>
      </w:tr>
      <w:tr>
        <w:trPr/>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9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Authorization of Placement Shares</w:t>
            </w:r>
            <w:r>
              <w:rPr>
                <w:rFonts w:ascii="Times New Roman" w:hAnsi="Times New Roman"/>
                <w:caps w:val="false"/>
                <w:smallCaps w:val="false"/>
                <w:sz w:val="20"/>
              </w:rPr>
              <w:t>. The Placement Shares, when issued and delivered pursuant to the terms approved by the board of directors of the Company or a duly authorized committee thereof, a duly authorized executive committee or one or more duly authorized executive officers of the Company, acting individually or together,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tc>
      </w:tr>
      <w:tr>
        <w:trPr/>
        <w:tc>
          <w:tcPr>
            <w:tcW w:w="234" w:type="dxa"/>
            <w:tcBorders/>
            <w:vAlign w:val="center"/>
          </w:tcPr>
          <w:p>
            <w:pPr>
              <w:pStyle w:val="TableContents"/>
              <w:bidi w:val="0"/>
              <w:spacing w:before="0" w:after="283"/>
              <w:jc w:val="left"/>
              <w:rPr/>
            </w:pPr>
            <w:r>
              <w:rPr/>
              <w:t> </w:t>
            </w:r>
          </w:p>
        </w:tc>
        <w:tc>
          <w:tcPr>
            <w:tcW w:w="9971" w:type="dxa"/>
            <w:tcBorders/>
            <w:vAlign w:val="center"/>
          </w:tcPr>
          <w:p>
            <w:pPr>
              <w:pStyle w:val="TableContents"/>
              <w:bidi w:val="0"/>
              <w:spacing w:before="0" w:after="283"/>
              <w:jc w:val="left"/>
              <w:rPr/>
            </w:pPr>
            <w:r>
              <w:rPr/>
              <w:t> </w:t>
            </w:r>
          </w:p>
        </w:tc>
      </w:tr>
      <w:tr>
        <w:trPr/>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w:t>
            </w:r>
          </w:p>
        </w:tc>
        <w:tc>
          <w:tcPr>
            <w:tcW w:w="9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Consents Required</w:t>
            </w:r>
            <w:r>
              <w:rPr>
                <w:rFonts w:ascii="Times New Roman" w:hAnsi="Times New Roman"/>
                <w:caps w:val="false"/>
                <w:smallCaps w:val="false"/>
                <w:sz w:val="20"/>
              </w:rPr>
              <w:t>. No consent, approval, authorization, order, registration or qualification of or with any Governmental Authority is required for the execution, delivery and performance by the Company of this Agreement, the issuance and sale by the Company of the Placement Shares, except for such consents, approvals, authorizations, orders and registrations or qualifications as may be required under applicable state securities laws or by the by-laws and rules of the Financial Industry Regulatory Authority (“</w:t>
            </w:r>
            <w:r>
              <w:rPr>
                <w:rFonts w:ascii="Times New Roman" w:hAnsi="Times New Roman"/>
                <w:b/>
                <w:caps w:val="false"/>
                <w:smallCaps w:val="false"/>
                <w:sz w:val="20"/>
                <w:u w:val="single"/>
              </w:rPr>
              <w:t>FINRA</w:t>
            </w:r>
            <w:r>
              <w:rPr>
                <w:rFonts w:ascii="Times New Roman" w:hAnsi="Times New Roman"/>
                <w:caps w:val="false"/>
                <w:smallCaps w:val="false"/>
                <w:sz w:val="20"/>
              </w:rPr>
              <w:t>”) or the Exchange in connection with the sale of the Placement Shares by the Agent.</w:t>
            </w:r>
          </w:p>
        </w:tc>
      </w:tr>
      <w:tr>
        <w:trPr/>
        <w:tc>
          <w:tcPr>
            <w:tcW w:w="234" w:type="dxa"/>
            <w:tcBorders/>
            <w:vAlign w:val="center"/>
          </w:tcPr>
          <w:p>
            <w:pPr>
              <w:pStyle w:val="TableContents"/>
              <w:bidi w:val="0"/>
              <w:spacing w:before="0" w:after="283"/>
              <w:jc w:val="left"/>
              <w:rPr/>
            </w:pPr>
            <w:r>
              <w:rPr/>
              <w:t> </w:t>
            </w:r>
          </w:p>
        </w:tc>
        <w:tc>
          <w:tcPr>
            <w:tcW w:w="9971" w:type="dxa"/>
            <w:tcBorders/>
            <w:vAlign w:val="center"/>
          </w:tcPr>
          <w:p>
            <w:pPr>
              <w:pStyle w:val="TableContents"/>
              <w:bidi w:val="0"/>
              <w:spacing w:before="0" w:after="283"/>
              <w:jc w:val="left"/>
              <w:rPr/>
            </w:pPr>
            <w:r>
              <w:rPr/>
              <w:t> </w:t>
            </w:r>
          </w:p>
        </w:tc>
      </w:tr>
      <w:tr>
        <w:trPr/>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w:t>
            </w:r>
          </w:p>
        </w:tc>
        <w:tc>
          <w:tcPr>
            <w:tcW w:w="9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Preferential Rights</w:t>
            </w:r>
            <w:r>
              <w:rPr>
                <w:rFonts w:ascii="Times New Roman" w:hAnsi="Times New Roman"/>
                <w:caps w:val="false"/>
                <w:smallCaps w:val="false"/>
                <w:sz w:val="20"/>
              </w:rPr>
              <w:t>. Except as set forth in the Registration Statement and the Prospectus, (i) no person, as such term is defined in Rule 1-02 of Regulation S-X promulgated under the Securities Act (each, a “</w:t>
            </w:r>
            <w:r>
              <w:rPr>
                <w:rFonts w:ascii="Times New Roman" w:hAnsi="Times New Roman"/>
                <w:b/>
                <w:caps w:val="false"/>
                <w:smallCaps w:val="false"/>
                <w:sz w:val="20"/>
                <w:u w:val="single"/>
              </w:rPr>
              <w:t>Person</w:t>
            </w:r>
            <w:r>
              <w:rPr>
                <w:rFonts w:ascii="Times New Roman" w:hAnsi="Times New Roman"/>
                <w:caps w:val="false"/>
                <w:smallCaps w:val="false"/>
                <w:sz w:val="20"/>
              </w:rPr>
              <w:t>”), has the right, 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Placement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tc>
      </w:tr>
      <w:tr>
        <w:trPr/>
        <w:tc>
          <w:tcPr>
            <w:tcW w:w="234" w:type="dxa"/>
            <w:tcBorders/>
            <w:vAlign w:val="center"/>
          </w:tcPr>
          <w:p>
            <w:pPr>
              <w:pStyle w:val="TableContents"/>
              <w:bidi w:val="0"/>
              <w:spacing w:before="0" w:after="283"/>
              <w:jc w:val="left"/>
              <w:rPr/>
            </w:pPr>
            <w:r>
              <w:rPr/>
              <w:t> </w:t>
            </w:r>
          </w:p>
        </w:tc>
        <w:tc>
          <w:tcPr>
            <w:tcW w:w="9971" w:type="dxa"/>
            <w:tcBorders/>
            <w:vAlign w:val="center"/>
          </w:tcPr>
          <w:p>
            <w:pPr>
              <w:pStyle w:val="TableContents"/>
              <w:bidi w:val="0"/>
              <w:spacing w:before="0" w:after="283"/>
              <w:jc w:val="left"/>
              <w:rPr/>
            </w:pPr>
            <w:r>
              <w:rPr/>
              <w:t> </w:t>
            </w:r>
          </w:p>
        </w:tc>
      </w:tr>
      <w:tr>
        <w:trPr/>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9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Independent Public Accounting Firm</w:t>
            </w:r>
            <w:r>
              <w:rPr>
                <w:rFonts w:ascii="Times New Roman" w:hAnsi="Times New Roman"/>
                <w:caps w:val="false"/>
                <w:smallCaps w:val="false"/>
                <w:sz w:val="20"/>
              </w:rPr>
              <w:t>. Ernst &amp; Young LLP (the “</w:t>
            </w:r>
            <w:r>
              <w:rPr>
                <w:rFonts w:ascii="Times New Roman" w:hAnsi="Times New Roman"/>
                <w:b/>
                <w:caps w:val="false"/>
                <w:smallCaps w:val="false"/>
                <w:sz w:val="20"/>
                <w:u w:val="single"/>
              </w:rPr>
              <w:t>Accountant</w:t>
            </w:r>
            <w:r>
              <w:rPr>
                <w:rFonts w:ascii="Times New Roman" w:hAnsi="Times New Roman"/>
                <w:caps w:val="false"/>
                <w:smallCaps w:val="false"/>
                <w:sz w:val="20"/>
              </w:rPr>
              <w:t>”), whose report on the consolidated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registered public accounting firm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 w:hAnsi="Times New Roman"/>
                <w:b/>
                <w:caps w:val="false"/>
                <w:smallCaps w:val="false"/>
                <w:sz w:val="20"/>
                <w:u w:val="single"/>
              </w:rPr>
              <w:t>Sarbanes-Oxley Act</w:t>
            </w:r>
            <w:r>
              <w:rPr>
                <w:rFonts w:ascii="Times New Roman" w:hAnsi="Times New Roman"/>
                <w:caps w:val="false"/>
                <w:smallCaps w:val="false"/>
                <w:sz w:val="20"/>
              </w:rPr>
              <w:t>”) with respect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w:t>
            </w:r>
          </w:p>
        </w:tc>
        <w:tc>
          <w:tcPr>
            <w:tcW w:w="10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Enforceability of Agreements</w:t>
            </w:r>
            <w:r>
              <w:rPr>
                <w:rFonts w:ascii="Times New Roman" w:hAnsi="Times New Roman"/>
                <w:caps w:val="false"/>
                <w:smallCaps w:val="false"/>
                <w:sz w:val="20"/>
              </w:rPr>
              <w:t>. All agreements between the Company and third parties expressly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w:t>
            </w:r>
          </w:p>
        </w:tc>
      </w:tr>
      <w:tr>
        <w:trPr/>
        <w:tc>
          <w:tcPr>
            <w:tcW w:w="190" w:type="dxa"/>
            <w:tcBorders/>
            <w:vAlign w:val="center"/>
          </w:tcPr>
          <w:p>
            <w:pPr>
              <w:pStyle w:val="TableContents"/>
              <w:bidi w:val="0"/>
              <w:spacing w:before="0" w:after="283"/>
              <w:jc w:val="left"/>
              <w:rPr/>
            </w:pPr>
            <w:r>
              <w:rPr/>
              <w:t> </w:t>
            </w:r>
          </w:p>
        </w:tc>
        <w:tc>
          <w:tcPr>
            <w:tcW w:w="10015" w:type="dxa"/>
            <w:tcBorders/>
            <w:vAlign w:val="center"/>
          </w:tcPr>
          <w:p>
            <w:pPr>
              <w:pStyle w:val="TableContents"/>
              <w:bidi w:val="0"/>
              <w:spacing w:before="0" w:after="283"/>
              <w:jc w:val="left"/>
              <w:rPr/>
            </w:pPr>
            <w:r>
              <w:rPr/>
              <w:t> </w:t>
            </w:r>
          </w:p>
        </w:tc>
      </w:tr>
      <w:tr>
        <w:trPr/>
        <w:tc>
          <w:tcPr>
            <w:tcW w:w="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w:t>
            </w:r>
          </w:p>
        </w:tc>
        <w:tc>
          <w:tcPr>
            <w:tcW w:w="10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Litigation</w:t>
            </w:r>
            <w:r>
              <w:rPr>
                <w:rFonts w:ascii="Times New Roman" w:hAnsi="Times New Roman"/>
                <w:caps w:val="false"/>
                <w:smallCaps w:val="false"/>
                <w:sz w:val="20"/>
              </w:rPr>
              <w:t>. Except as set forth in the Registration Statement or the Prospectus,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individually or in the aggregate, would have a Material Adverse Effect and, to the Company’s knowledge, no such actions, suits, proceedings, audits or investigations are threatened or contemplated by any Governmental Authority or threatened by others; and (i) there are no current or pending investigations, actions, suits or proceedings by or before any Governmental Authority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tc>
      </w:tr>
      <w:tr>
        <w:trPr/>
        <w:tc>
          <w:tcPr>
            <w:tcW w:w="190" w:type="dxa"/>
            <w:tcBorders/>
            <w:vAlign w:val="center"/>
          </w:tcPr>
          <w:p>
            <w:pPr>
              <w:pStyle w:val="TableContents"/>
              <w:bidi w:val="0"/>
              <w:spacing w:before="0" w:after="283"/>
              <w:jc w:val="left"/>
              <w:rPr/>
            </w:pPr>
            <w:r>
              <w:rPr/>
              <w:t> </w:t>
            </w:r>
          </w:p>
        </w:tc>
        <w:tc>
          <w:tcPr>
            <w:tcW w:w="10015" w:type="dxa"/>
            <w:tcBorders/>
            <w:vAlign w:val="center"/>
          </w:tcPr>
          <w:p>
            <w:pPr>
              <w:pStyle w:val="TableContents"/>
              <w:bidi w:val="0"/>
              <w:spacing w:before="0" w:after="283"/>
              <w:jc w:val="left"/>
              <w:rPr/>
            </w:pPr>
            <w:r>
              <w:rPr/>
              <w:t> </w:t>
            </w:r>
          </w:p>
        </w:tc>
      </w:tr>
      <w:tr>
        <w:trPr/>
        <w:tc>
          <w:tcPr>
            <w:tcW w:w="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w:t>
            </w:r>
          </w:p>
        </w:tc>
        <w:tc>
          <w:tcPr>
            <w:tcW w:w="100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Licenses and Permits</w:t>
            </w:r>
            <w:r>
              <w:rPr>
                <w:rFonts w:ascii="Times New Roman" w:hAnsi="Times New Roman"/>
                <w:caps w:val="false"/>
                <w:smallCaps w:val="false"/>
                <w:sz w:val="20"/>
              </w:rPr>
              <w:t>. Except as set forth in the Registration Statement or the Prospectus, the Company and the Subsidiaries possess or have obtained, all licenses, certificates, consents, orders, approvals, permits and other authorizations issued by, and have made all declarations and filings with, the appropriate Governmental Authorities (including, without limitation, the United States Food and Drug Administration (the “</w:t>
            </w:r>
            <w:r>
              <w:rPr>
                <w:rFonts w:ascii="Times New Roman" w:hAnsi="Times New Roman"/>
                <w:b/>
                <w:caps w:val="false"/>
                <w:smallCaps w:val="false"/>
                <w:sz w:val="20"/>
                <w:u w:val="single"/>
              </w:rPr>
              <w:t>FDA</w:t>
            </w:r>
            <w:r>
              <w:rPr>
                <w:rFonts w:ascii="Times New Roman" w:hAnsi="Times New Roman"/>
                <w:caps w:val="false"/>
                <w:smallCaps w:val="false"/>
                <w:sz w:val="20"/>
              </w:rPr>
              <w:t>”) and the European Medicines Agency (the “</w:t>
            </w:r>
            <w:r>
              <w:rPr>
                <w:rFonts w:ascii="Times New Roman" w:hAnsi="Times New Roman"/>
                <w:b/>
                <w:caps w:val="false"/>
                <w:smallCaps w:val="false"/>
                <w:sz w:val="20"/>
                <w:u w:val="single"/>
              </w:rPr>
              <w:t>EMA</w:t>
            </w:r>
            <w:r>
              <w:rPr>
                <w:rFonts w:ascii="Times New Roman" w:hAnsi="Times New Roman"/>
                <w:caps w:val="false"/>
                <w:smallCaps w:val="false"/>
                <w:sz w:val="20"/>
              </w:rPr>
              <w:t>”)) that are necessary for the ownership or lease of their respective properties or the conduct of their respective businesses as described in the Registration Statement and the Prospectus (the “</w:t>
            </w:r>
            <w:r>
              <w:rPr>
                <w:rFonts w:ascii="Times New Roman" w:hAnsi="Times New Roman"/>
                <w:b/>
                <w:caps w:val="false"/>
                <w:smallCaps w:val="false"/>
                <w:sz w:val="20"/>
                <w:u w:val="single"/>
              </w:rPr>
              <w:t>Permits</w:t>
            </w:r>
            <w:r>
              <w:rPr>
                <w:rFonts w:ascii="Times New Roman" w:hAnsi="Times New Roman"/>
                <w:caps w:val="false"/>
                <w:smallCaps w:val="false"/>
                <w:sz w:val="20"/>
              </w:rPr>
              <w:t>”), except where the failure to possess, obtain or make the same would not, individually or in the aggregate, have a Material Adverse Effect. Except as disclosed in the Registration Statement or the Prospectus, neither the Company nor any Subsidiary has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have a Material Adverse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100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Intellectual Property</w:t>
            </w:r>
            <w:r>
              <w:rPr>
                <w:rFonts w:ascii="Times New Roman" w:hAnsi="Times New Roman"/>
                <w:caps w:val="false"/>
                <w:smallCaps w:val="false"/>
                <w:sz w:val="20"/>
              </w:rPr>
              <w:t>. Except as set forth in the Registration Statement or the Prospectus, the Company believes it and the Subsidiaries own or possess adequate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 w:hAnsi="Times New Roman"/>
                <w:b/>
                <w:caps w:val="false"/>
                <w:smallCaps w:val="false"/>
                <w:sz w:val="20"/>
                <w:u w:val="single"/>
              </w:rPr>
              <w:t>Intellectual Property</w:t>
            </w:r>
            <w:r>
              <w:rPr>
                <w:rFonts w:ascii="Times New Roman" w:hAnsi="Times New Roman"/>
                <w:caps w:val="false"/>
                <w:smallCaps w:val="false"/>
                <w:sz w:val="20"/>
              </w:rPr>
              <w:t>”), necessary for the conduct of their respective businesses as conducted as of the date hereof or as currently proposed to be conducted, or to the development, manufacture, operation and sale of any products and services sold or proposed to be sold by any of the Company or any Subsidiary, except to the extent that the failure to own or possess adequate rights to use such Intellectual Property would not, individually or in the aggregate, have a Material Adverse Effect; neither the Company nor any Subsidiary has received any written notice of any claim of infringement or conflict which asserted Intellectual Property rights of others, which infringement or conflict, if the subject of an unfavorable decision, would have a Material Adverse Effect; there are no pending, or to the Company’s knowledge, threatened judicial proceedings or interference proceedings challenging the Company’s or any Subsidiary’s rights in or to, the validity of, the enforceability of, or the scope of any of the Company’s or any Subsidiary’s patents, patent applications or proprietary information; the Company is not aware of any other entity or individual that has any right or claim in any of the Company’s or any Subsidiary’s patents, patent applications or any patent to be issued therefrom by virtue of any contract, license or other agreement entered into between such entity or individual and the Company, any Subsidiary or by any non-contractual obligation, other than by written licenses granted by the Company; the Company and the Subsidiaries have taken all reasonable steps to protect, maintain and safeguard the material Intellectual Property owned by the Company or any Subsidiary, including the execution of appropriate nondisclosure, confidentiality agreements, invention assignment agreements, and invention assignments with their employees. to the Company’s knowledge, no employee of the Company or any Subsidiary is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Subsidiary; the Company has not received any written notice of any claim challenging the rights of the Company or any Subsidiary in or to any Intellectual Property owned, licensed or optioned by the Company or any Subsidiary which claim, if the subject of an unfavorable decision would result in a Material Adverse Effect. The Company’s or any Subsidiary’s patents are subsisting, have not lapsed, and have not been adjudged by a court of competent jurisdiction invalid or unenforceable, in whole or in part; the Company’s or any Subsidiary’s patent applications are subsisting and have not been abandoned; and the duty of candor and good faith as required by the United States Patent and Trademark Office during the prosecution of the Company’s or any Subsidiary’s patents and patent applications has been complied with. The Company and the Subsidiaries have complied with the terms of each agreement pursuant to which Intellectual Property has been licensed to the Company or any Subsidiary, and all such agreements are in full force and effect.</w:t>
            </w:r>
          </w:p>
        </w:tc>
      </w:tr>
      <w:tr>
        <w:trPr/>
        <w:tc>
          <w:tcPr>
            <w:tcW w:w="156" w:type="dxa"/>
            <w:tcBorders/>
            <w:vAlign w:val="center"/>
          </w:tcPr>
          <w:p>
            <w:pPr>
              <w:pStyle w:val="TableContents"/>
              <w:bidi w:val="0"/>
              <w:spacing w:before="0" w:after="283"/>
              <w:jc w:val="left"/>
              <w:rPr/>
            </w:pPr>
            <w:r>
              <w:rPr/>
              <w:t> </w:t>
            </w:r>
          </w:p>
        </w:tc>
        <w:tc>
          <w:tcPr>
            <w:tcW w:w="10049"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t>
            </w:r>
          </w:p>
        </w:tc>
        <w:tc>
          <w:tcPr>
            <w:tcW w:w="100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Clinical Studies</w:t>
            </w:r>
            <w:r>
              <w:rPr>
                <w:rFonts w:ascii="Times New Roman" w:hAnsi="Times New Roman"/>
                <w:caps w:val="false"/>
                <w:smallCaps w:val="false"/>
                <w:sz w:val="20"/>
              </w:rPr>
              <w:t>. All animal and other preclinical studies and clinical trials conducted by the Company or on behalf of the Company were, and, if still pending are, to the Company’s knowledge, being conducted in all material respects in compliance with all Applicable Laws (as defined below) and in accordance with experimental protocols, procedures and controls generally used by qualified experts in the preclinical study and clinical trials of new drugs and biologics as applied to comparable products to those being developed by the Company; the descriptions of the results of such preclinical studies and clinical trials contained in the Registration Statement and the Prospectus are accurate in all material respects, and, except as set forth in the Registration Statement and the Prospectus, the Company has no knowledge of any other clinical trials or preclinical studies, the results of which reasonably call into question the clinical trial or preclinical study results described or referred to in the Registration Statement and the Prospectus when viewed in the context in which such results are described; and the Company has not received any written notices or correspondence from the FDA, the EMA, or any other domestic or foreign governmental agency requiring the termination or suspension of any preclinical studies or clinical trials conducted by or on behalf of the Company that are described in the Registration Statement and the Prospectus or the results of which are referred to in the Registration Statement and the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w:t>
            </w:r>
          </w:p>
        </w:tc>
        <w:tc>
          <w:tcPr>
            <w:tcW w:w="9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Compliance Program</w:t>
            </w:r>
            <w:r>
              <w:rPr>
                <w:rFonts w:ascii="Times New Roman" w:hAnsi="Times New Roman"/>
                <w:caps w:val="false"/>
                <w:smallCaps w:val="false"/>
                <w:sz w:val="20"/>
              </w:rPr>
              <w:t>. 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Governmental Authority performing functions similar to those performed by the FDA or the EMA); except where such noncompliance would not reasonably be expected to have a Material Adverse Effect.</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left"/>
              <w:rPr/>
            </w:pPr>
            <w:r>
              <w:rPr/>
              <w:t> </w:t>
            </w:r>
          </w:p>
        </w:tc>
      </w:tr>
      <w:tr>
        <w:trPr/>
        <w:tc>
          <w:tcPr>
            <w:tcW w:w="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w:t>
            </w:r>
          </w:p>
        </w:tc>
        <w:tc>
          <w:tcPr>
            <w:tcW w:w="9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Market Capitalization</w:t>
            </w:r>
            <w:r>
              <w:rPr>
                <w:rFonts w:ascii="Times New Roman" w:hAnsi="Times New Roman"/>
                <w:caps w:val="false"/>
                <w:smallCaps w:val="false"/>
                <w:sz w:val="20"/>
              </w:rPr>
              <w:t>. At the time the Registration Statement was or will be originally declared, or otherwise become, effective, and at the time the Company’s most recent Annual Report on Form 10-K was filed with the Commission, the Company met or will meet the then applicable requirements for the use of Form S-3 under the Securities Act, including, but not limited to, General Instruction I.B.1 of Form S-3. The aggregate market value of the outstanding voting and non-voting common equity (as defined in Securities Act Rule 405) of the Company held by persons other than affiliates of the Company (pursuant to Securities Act Rule 144, those that directly, or indirectly through one or more intermediaries, control, or are controlled by, or are under common control with, the Company) (the “</w:t>
            </w:r>
            <w:r>
              <w:rPr>
                <w:rFonts w:ascii="Times New Roman" w:hAnsi="Times New Roman"/>
                <w:b/>
                <w:caps w:val="false"/>
                <w:smallCaps w:val="false"/>
                <w:sz w:val="20"/>
                <w:u w:val="single"/>
              </w:rPr>
              <w:t>Non-Affiliate Shares</w:t>
            </w:r>
            <w:r>
              <w:rPr>
                <w:rFonts w:ascii="Times New Roman" w:hAnsi="Times New Roman"/>
                <w:caps w:val="false"/>
                <w:smallCaps w:val="false"/>
                <w:sz w:val="20"/>
              </w:rPr>
              <w:t>”), was equal to or greater than $75 million (calculated by multiplying (x) the highest price at which the common equity of the Company closed on the Exchange within 60 days of the date of this Agreement times (y) the number of Non-Affiliate Shares). The Company is not a shell company (as defined in Rule 405 under the Securities Act) and has not been a shell company for at least 12 calendar months previously.</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left"/>
              <w:rPr/>
            </w:pPr>
            <w:r>
              <w:rPr/>
              <w:t> </w:t>
            </w:r>
          </w:p>
        </w:tc>
      </w:tr>
      <w:tr>
        <w:trPr/>
        <w:tc>
          <w:tcPr>
            <w:tcW w:w="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w:t>
            </w:r>
          </w:p>
        </w:tc>
        <w:tc>
          <w:tcPr>
            <w:tcW w:w="9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FINRA Matters</w:t>
            </w:r>
            <w:r>
              <w:rPr>
                <w:rFonts w:ascii="Times New Roman" w:hAnsi="Times New Roman"/>
                <w:caps w:val="false"/>
                <w:smallCaps w:val="false"/>
                <w:sz w:val="20"/>
              </w:rPr>
              <w:t>. The information provided to the Agent by the Company, its counsel, and its officers and directors for purposes of the Agent’s compliance with applicable FINRA rules in connection with the offering of the Shares is true and complete in all material respects. The Company qualifies as an “experienced issuer” (within the meaning of FINRA Rule 5110(j)(6) for purposes of the exemption from filing under FINRA Rule 5110(h)(1)(C)).</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left"/>
              <w:rPr/>
            </w:pPr>
            <w:r>
              <w:rPr/>
              <w:t> </w:t>
            </w:r>
          </w:p>
        </w:tc>
      </w:tr>
      <w:tr>
        <w:trPr/>
        <w:tc>
          <w:tcPr>
            <w:tcW w:w="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w:t>
            </w:r>
          </w:p>
        </w:tc>
        <w:tc>
          <w:tcPr>
            <w:tcW w:w="9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Material Defaults</w:t>
            </w:r>
            <w:r>
              <w:rPr>
                <w:rFonts w:ascii="Times New Roman" w:hAnsi="Times New Roman"/>
                <w:caps w:val="false"/>
                <w:smallCaps w:val="false"/>
                <w:sz w:val="20"/>
              </w:rPr>
              <w:t>. Neither the Company nor any of the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could reasonably be expected to have a Material Adverse Effect.</w:t>
            </w:r>
          </w:p>
        </w:tc>
      </w:tr>
      <w:tr>
        <w:trPr/>
        <w:tc>
          <w:tcPr>
            <w:tcW w:w="220" w:type="dxa"/>
            <w:tcBorders/>
            <w:vAlign w:val="center"/>
          </w:tcPr>
          <w:p>
            <w:pPr>
              <w:pStyle w:val="TableContents"/>
              <w:bidi w:val="0"/>
              <w:spacing w:before="0" w:after="283"/>
              <w:jc w:val="left"/>
              <w:rPr/>
            </w:pPr>
            <w:r>
              <w:rPr/>
              <w:t> </w:t>
            </w:r>
          </w:p>
        </w:tc>
        <w:tc>
          <w:tcPr>
            <w:tcW w:w="9985" w:type="dxa"/>
            <w:tcBorders/>
            <w:vAlign w:val="center"/>
          </w:tcPr>
          <w:p>
            <w:pPr>
              <w:pStyle w:val="TableContents"/>
              <w:bidi w:val="0"/>
              <w:spacing w:before="0" w:after="283"/>
              <w:jc w:val="left"/>
              <w:rPr/>
            </w:pPr>
            <w:r>
              <w:rPr/>
              <w:t> </w:t>
            </w:r>
          </w:p>
        </w:tc>
      </w:tr>
      <w:tr>
        <w:trPr/>
        <w:tc>
          <w:tcPr>
            <w:tcW w:w="2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w:t>
            </w:r>
          </w:p>
        </w:tc>
        <w:tc>
          <w:tcPr>
            <w:tcW w:w="99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Certain Market Activities</w:t>
            </w:r>
            <w:r>
              <w:rPr>
                <w:rFonts w:ascii="Times New Roman" w:hAnsi="Times New Roman"/>
                <w:caps w:val="false"/>
                <w:smallCaps w:val="false"/>
                <w:sz w:val="20"/>
              </w:rPr>
              <w:t>. Neither the Company, nor any of the Subsidiaries, nor any of their respective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Broker/Dealer Relationships</w:t>
            </w:r>
            <w:r>
              <w:rPr>
                <w:rFonts w:ascii="Times New Roman" w:hAnsi="Times New Roman"/>
                <w:caps w:val="false"/>
                <w:smallCaps w:val="false"/>
                <w:sz w:val="20"/>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tc>
      </w:tr>
      <w:tr>
        <w:trPr/>
        <w:tc>
          <w:tcPr>
            <w:tcW w:w="295"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left"/>
              <w:rPr/>
            </w:pPr>
            <w:r>
              <w:rPr/>
              <w:t> </w:t>
            </w:r>
          </w:p>
        </w:tc>
      </w:tr>
      <w:tr>
        <w:trPr/>
        <w:tc>
          <w:tcPr>
            <w:tcW w:w="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Reliance</w:t>
            </w:r>
            <w:r>
              <w:rPr>
                <w:rFonts w:ascii="Times New Roman" w:hAnsi="Times New Roman"/>
                <w:caps w:val="false"/>
                <w:smallCaps w:val="false"/>
                <w:sz w:val="20"/>
              </w:rPr>
              <w:t>. The Company has not relied upon the Agent or legal counsel for the Agent for any legal, tax or accounting advice in connection with the offering and sale of the Placement Shares.</w:t>
            </w:r>
          </w:p>
        </w:tc>
      </w:tr>
      <w:tr>
        <w:trPr/>
        <w:tc>
          <w:tcPr>
            <w:tcW w:w="295"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left"/>
              <w:rPr/>
            </w:pPr>
            <w:r>
              <w:rPr/>
              <w:t> </w:t>
            </w:r>
          </w:p>
        </w:tc>
      </w:tr>
      <w:tr>
        <w:trPr/>
        <w:tc>
          <w:tcPr>
            <w:tcW w:w="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Taxes</w:t>
            </w:r>
            <w:r>
              <w:rPr>
                <w:rFonts w:ascii="Times New Roman" w:hAnsi="Times New Roman"/>
                <w:caps w:val="false"/>
                <w:smallCaps w:val="false"/>
                <w:sz w:val="20"/>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the Prospectus,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tc>
      </w:tr>
      <w:tr>
        <w:trPr/>
        <w:tc>
          <w:tcPr>
            <w:tcW w:w="295"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left"/>
              <w:rPr/>
            </w:pPr>
            <w:r>
              <w:rPr/>
              <w:t> </w:t>
            </w:r>
          </w:p>
        </w:tc>
      </w:tr>
      <w:tr>
        <w:trPr/>
        <w:tc>
          <w:tcPr>
            <w:tcW w:w="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Title to Real and Personal Property</w:t>
            </w:r>
            <w:r>
              <w:rPr>
                <w:rFonts w:ascii="Times New Roman" w:hAnsi="Times New Roman"/>
                <w:caps w:val="false"/>
                <w:smallCaps w:val="false"/>
                <w:sz w:val="20"/>
              </w:rPr>
              <w:t>. Except as set forth in the Registration Statement or the Prospectus, the Company and its Subsidiaries have good and marketable title in fee simple to all items of real property owned by them, good and valid title to all personal property described in the Registration Statement or Prospectus as being owned by them that are material to the businesses of the Company and its Subsidiaries, in each case free and clear of all liens, encumbrances and claims, except those matters that (i) do not materially interfere with the use made and proposed to be made of such property by the Company and any of its Subsidiaries or (ii) would not, individually or in the aggregate, have a Material Adverse Effect. Any real or personal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w:t>
            </w:r>
          </w:p>
        </w:tc>
      </w:tr>
      <w:tr>
        <w:trPr/>
        <w:tc>
          <w:tcPr>
            <w:tcW w:w="295"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left"/>
              <w:rPr/>
            </w:pPr>
            <w:r>
              <w:rPr/>
              <w:t> </w:t>
            </w:r>
          </w:p>
        </w:tc>
      </w:tr>
      <w:tr>
        <w:trPr/>
        <w:tc>
          <w:tcPr>
            <w:tcW w:w="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(dd)</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Environmental Laws</w:t>
            </w:r>
            <w:r>
              <w:rPr>
                <w:rFonts w:ascii="Times New Roman" w:hAnsi="Times New Roman"/>
                <w:caps w:val="false"/>
                <w:smallCaps w:val="false"/>
                <w:sz w:val="20"/>
              </w:rPr>
              <w:t>. Except as set forth in the Registration Statement or the Prospectus,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hAnsi="Times New Roman"/>
                <w:b/>
                <w:caps w:val="false"/>
                <w:smallCaps w:val="false"/>
                <w:sz w:val="20"/>
                <w:u w:val="single"/>
              </w:rPr>
              <w:t>Environmental Laws</w:t>
            </w:r>
            <w:r>
              <w:rPr>
                <w:rFonts w:ascii="Times New Roman" w:hAnsi="Times New Roman"/>
                <w:caps w:val="false"/>
                <w:smallCaps w:val="false"/>
                <w:sz w:val="20"/>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(ee)</w:t>
            </w:r>
          </w:p>
        </w:tc>
        <w:tc>
          <w:tcPr>
            <w:tcW w:w="99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Disclosure Controls</w:t>
            </w:r>
            <w:r>
              <w:rPr>
                <w:rFonts w:ascii="Times New Roman" w:hAnsi="Times New Roman"/>
                <w:caps w:val="false"/>
                <w:smallCaps w:val="false"/>
                <w:sz w:val="20"/>
              </w:rPr>
              <w:t>. The Company’s internal control over financial reporting is a process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pertain to the maintenance of records that, in reasonable detail, accurately and fairly reflect our transactions and dispositions of our assets; provide reasonable assurance that transactions are recorded as necessary to permit preparation of financial statements in accordance with GAAP, and that our receipts and expenditures are being made only in accordance with authorizations of our management and board of directors; and provide reasonable assurance regarding prevention or timely detection of unauthorized acquisition, use, or disposition of our assets that could have a material effect on the financial statements. The Company’s internal control over financial reporting is effective and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90 days prior to the filing date of the Form 10-K for the fiscal year most recently ended (such date, the “</w:t>
            </w:r>
            <w:r>
              <w:rPr>
                <w:rFonts w:ascii="Times New Roman" w:hAnsi="Times New Roman"/>
                <w:b/>
                <w:caps w:val="false"/>
                <w:smallCaps w:val="false"/>
                <w:sz w:val="20"/>
                <w:u w:val="single"/>
              </w:rPr>
              <w:t>Evaluation Date</w:t>
            </w:r>
            <w:r>
              <w:rPr>
                <w:rFonts w:ascii="Times New Roman" w:hAnsi="Times New Roman"/>
                <w:caps w:val="false"/>
                <w:smallCaps w:val="false"/>
                <w:sz w:val="20"/>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 To the knowledge of the Company, the Company’s “internal controls over financial reporting” and “disclosure controls and procedures” are effective.</w:t>
            </w:r>
          </w:p>
        </w:tc>
      </w:tr>
      <w:tr>
        <w:trPr/>
        <w:tc>
          <w:tcPr>
            <w:tcW w:w="292"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(ff)</w:t>
            </w:r>
          </w:p>
        </w:tc>
        <w:tc>
          <w:tcPr>
            <w:tcW w:w="99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Sarbanes-Oxley</w:t>
            </w:r>
            <w:r>
              <w:rPr>
                <w:rFonts w:ascii="Times New Roman" w:hAnsi="Times New Roman"/>
                <w:caps w:val="false"/>
                <w:smallCaps w:val="false"/>
                <w:sz w:val="20"/>
              </w:rPr>
              <w:t>. There is and has not been, on the part of the Company or, to the Company’s knowledge, the Company’s directors and officers, in their capacities as such, any failure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tc>
      </w:tr>
      <w:tr>
        <w:trPr/>
        <w:tc>
          <w:tcPr>
            <w:tcW w:w="292"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(gg)</w:t>
            </w:r>
          </w:p>
        </w:tc>
        <w:tc>
          <w:tcPr>
            <w:tcW w:w="99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Finder’s Fees</w:t>
            </w:r>
            <w:r>
              <w:rPr>
                <w:rFonts w:ascii="Times New Roman" w:hAnsi="Times New Roman"/>
                <w:caps w:val="false"/>
                <w:smallCaps w:val="false"/>
                <w:sz w:val="20"/>
              </w:rPr>
              <w:t>. Neither the Company nor any of the Subsidiaries has incurred any liability for any finder’s fees, brokerage commissions or similar payments in connection with the transactions herein contemplated, except as may otherwise exist with respect to the Agent pursuant to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(hh)</w:t>
            </w:r>
          </w:p>
        </w:tc>
        <w:tc>
          <w:tcPr>
            <w:tcW w:w="98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Labor Disputes</w:t>
            </w:r>
            <w:r>
              <w:rPr>
                <w:rFonts w:ascii="Times New Roman" w:hAnsi="Times New Roman"/>
                <w:caps w:val="false"/>
                <w:smallCaps w:val="false"/>
                <w:sz w:val="20"/>
              </w:rPr>
              <w:t>. No labor disturbance by or dispute with employees of the Company or any of its Subsidiaries exists or, to the knowledge of the Company, is threatened which would result in a Material Adverse Effect.</w:t>
            </w:r>
          </w:p>
        </w:tc>
      </w:tr>
      <w:tr>
        <w:trPr/>
        <w:tc>
          <w:tcPr>
            <w:tcW w:w="384" w:type="dxa"/>
            <w:tcBorders/>
            <w:vAlign w:val="center"/>
          </w:tcPr>
          <w:p>
            <w:pPr>
              <w:pStyle w:val="TableContents"/>
              <w:bidi w:val="0"/>
              <w:spacing w:before="0" w:after="283"/>
              <w:jc w:val="left"/>
              <w:rPr/>
            </w:pPr>
            <w:r>
              <w:rPr/>
              <w:t> </w:t>
            </w:r>
          </w:p>
        </w:tc>
        <w:tc>
          <w:tcPr>
            <w:tcW w:w="9821" w:type="dxa"/>
            <w:tcBorders/>
            <w:vAlign w:val="center"/>
          </w:tcPr>
          <w:p>
            <w:pPr>
              <w:pStyle w:val="TableContents"/>
              <w:bidi w:val="0"/>
              <w:spacing w:before="0" w:after="283"/>
              <w:jc w:val="left"/>
              <w:rPr/>
            </w:pPr>
            <w:r>
              <w:rPr/>
              <w:t> </w:t>
            </w:r>
          </w:p>
        </w:tc>
      </w:tr>
      <w:tr>
        <w:trPr/>
        <w:tc>
          <w:tcPr>
            <w:tcW w:w="3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(ii)</w:t>
            </w:r>
          </w:p>
        </w:tc>
        <w:tc>
          <w:tcPr>
            <w:tcW w:w="98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Investment Company Act</w:t>
            </w:r>
            <w:r>
              <w:rPr>
                <w:rFonts w:ascii="Times New Roman" w:hAnsi="Times New Roman"/>
                <w:caps w:val="false"/>
                <w:smallCaps w:val="false"/>
                <w:sz w:val="20"/>
              </w:rPr>
              <w: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Times New Roman" w:hAnsi="Times New Roman"/>
                <w:b/>
                <w:caps w:val="false"/>
                <w:smallCaps w:val="false"/>
                <w:sz w:val="20"/>
                <w:u w:val="single"/>
              </w:rPr>
              <w:t>Investment Company Act</w:t>
            </w:r>
            <w:r>
              <w:rPr>
                <w:rFonts w:ascii="Times New Roman" w:hAnsi="Times New Roman"/>
                <w:caps w:val="false"/>
                <w:smallCaps w:val="false"/>
                <w:sz w:val="20"/>
              </w:rPr>
              <w:t>”).</w:t>
            </w:r>
          </w:p>
        </w:tc>
      </w:tr>
      <w:tr>
        <w:trPr/>
        <w:tc>
          <w:tcPr>
            <w:tcW w:w="384" w:type="dxa"/>
            <w:tcBorders/>
            <w:vAlign w:val="center"/>
          </w:tcPr>
          <w:p>
            <w:pPr>
              <w:pStyle w:val="TableContents"/>
              <w:bidi w:val="0"/>
              <w:spacing w:before="0" w:after="283"/>
              <w:jc w:val="left"/>
              <w:rPr/>
            </w:pPr>
            <w:r>
              <w:rPr/>
              <w:t> </w:t>
            </w:r>
          </w:p>
        </w:tc>
        <w:tc>
          <w:tcPr>
            <w:tcW w:w="9821" w:type="dxa"/>
            <w:tcBorders/>
            <w:vAlign w:val="center"/>
          </w:tcPr>
          <w:p>
            <w:pPr>
              <w:pStyle w:val="TableContents"/>
              <w:bidi w:val="0"/>
              <w:spacing w:before="0" w:after="283"/>
              <w:jc w:val="left"/>
              <w:rPr/>
            </w:pPr>
            <w:r>
              <w:rPr/>
              <w:t> </w:t>
            </w:r>
          </w:p>
        </w:tc>
      </w:tr>
      <w:tr>
        <w:trPr/>
        <w:tc>
          <w:tcPr>
            <w:tcW w:w="3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(jj)</w:t>
            </w:r>
          </w:p>
        </w:tc>
        <w:tc>
          <w:tcPr>
            <w:tcW w:w="98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Operations</w:t>
            </w:r>
            <w:r>
              <w:rPr>
                <w:rFonts w:ascii="Times New Roman" w:hAnsi="Times New Roman"/>
                <w:caps w:val="false"/>
                <w:smallCaps w:val="false"/>
                <w:sz w:val="20"/>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 w:hAnsi="Times New Roman"/>
                <w:b/>
                <w:caps w:val="false"/>
                <w:smallCaps w:val="false"/>
                <w:sz w:val="20"/>
                <w:u w:val="single"/>
              </w:rPr>
              <w:t>Money Laundering Laws</w:t>
            </w:r>
            <w:r>
              <w:rPr>
                <w:rFonts w:ascii="Times New Roman" w:hAnsi="Times New Roman"/>
                <w:caps w:val="false"/>
                <w:smallCaps w:val="false"/>
                <w:sz w:val="20"/>
              </w:rPr>
              <w:t>”); and no action, suit or proceeding by or before any Governmental Authority involving the Company or any of its Subsidiaries with respect to the Money Laundering Laws is pending or, to the knowledge of the Company, threatened.</w:t>
            </w:r>
          </w:p>
        </w:tc>
      </w:tr>
      <w:tr>
        <w:trPr/>
        <w:tc>
          <w:tcPr>
            <w:tcW w:w="384" w:type="dxa"/>
            <w:tcBorders/>
            <w:vAlign w:val="center"/>
          </w:tcPr>
          <w:p>
            <w:pPr>
              <w:pStyle w:val="TableContents"/>
              <w:bidi w:val="0"/>
              <w:spacing w:before="0" w:after="283"/>
              <w:jc w:val="left"/>
              <w:rPr/>
            </w:pPr>
            <w:r>
              <w:rPr/>
              <w:t> </w:t>
            </w:r>
          </w:p>
        </w:tc>
        <w:tc>
          <w:tcPr>
            <w:tcW w:w="9821" w:type="dxa"/>
            <w:tcBorders/>
            <w:vAlign w:val="center"/>
          </w:tcPr>
          <w:p>
            <w:pPr>
              <w:pStyle w:val="TableContents"/>
              <w:bidi w:val="0"/>
              <w:spacing w:before="0" w:after="283"/>
              <w:jc w:val="left"/>
              <w:rPr/>
            </w:pPr>
            <w:r>
              <w:rPr/>
              <w:t> </w:t>
            </w:r>
          </w:p>
        </w:tc>
      </w:tr>
      <w:tr>
        <w:trPr/>
        <w:tc>
          <w:tcPr>
            <w:tcW w:w="3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(kk)</w:t>
            </w:r>
          </w:p>
        </w:tc>
        <w:tc>
          <w:tcPr>
            <w:tcW w:w="98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Off-Balance Sheet Arrangements</w:t>
            </w:r>
            <w:r>
              <w:rPr>
                <w:rFonts w:ascii="Times New Roman" w:hAnsi="Times New Roman"/>
                <w:caps w:val="false"/>
                <w:smallCaps w:val="false"/>
                <w:sz w:val="20"/>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 w:hAnsi="Times New Roman"/>
                <w:b/>
                <w:caps w:val="false"/>
                <w:smallCaps w:val="false"/>
                <w:sz w:val="20"/>
                <w:u w:val="single"/>
              </w:rPr>
              <w:t>Off-Balance Sheet Transaction</w:t>
            </w:r>
            <w:r>
              <w:rPr>
                <w:rFonts w:ascii="Times New Roman" w:hAnsi="Times New Roman"/>
                <w:caps w:val="false"/>
                <w:smallCaps w:val="false"/>
                <w:sz w:val="20"/>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tc>
      </w:tr>
      <w:tr>
        <w:trPr/>
        <w:tc>
          <w:tcPr>
            <w:tcW w:w="384" w:type="dxa"/>
            <w:tcBorders/>
            <w:vAlign w:val="center"/>
          </w:tcPr>
          <w:p>
            <w:pPr>
              <w:pStyle w:val="TableContents"/>
              <w:bidi w:val="0"/>
              <w:spacing w:before="0" w:after="283"/>
              <w:jc w:val="left"/>
              <w:rPr/>
            </w:pPr>
            <w:r>
              <w:rPr/>
              <w:t> </w:t>
            </w:r>
          </w:p>
        </w:tc>
        <w:tc>
          <w:tcPr>
            <w:tcW w:w="9821" w:type="dxa"/>
            <w:tcBorders/>
            <w:vAlign w:val="center"/>
          </w:tcPr>
          <w:p>
            <w:pPr>
              <w:pStyle w:val="TableContents"/>
              <w:bidi w:val="0"/>
              <w:spacing w:before="0" w:after="283"/>
              <w:jc w:val="left"/>
              <w:rPr/>
            </w:pPr>
            <w:r>
              <w:rPr/>
              <w:t> </w:t>
            </w:r>
          </w:p>
        </w:tc>
      </w:tr>
      <w:tr>
        <w:trPr/>
        <w:tc>
          <w:tcPr>
            <w:tcW w:w="3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(ll)</w:t>
            </w:r>
          </w:p>
        </w:tc>
        <w:tc>
          <w:tcPr>
            <w:tcW w:w="98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Underwriter Agreements</w:t>
            </w:r>
            <w:r>
              <w:rPr>
                <w:rFonts w:ascii="Times New Roman" w:hAnsi="Times New Roman"/>
                <w:caps w:val="false"/>
                <w:smallCaps w:val="false"/>
                <w:sz w:val="20"/>
              </w:rPr>
              <w:t>. The Company is not a party to any agreement with an agent or underwriter for any other “at the market” or continuous equity transaction.</w:t>
            </w:r>
          </w:p>
        </w:tc>
      </w:tr>
      <w:tr>
        <w:trPr/>
        <w:tc>
          <w:tcPr>
            <w:tcW w:w="384" w:type="dxa"/>
            <w:tcBorders/>
            <w:vAlign w:val="center"/>
          </w:tcPr>
          <w:p>
            <w:pPr>
              <w:pStyle w:val="TableContents"/>
              <w:bidi w:val="0"/>
              <w:spacing w:before="0" w:after="283"/>
              <w:jc w:val="left"/>
              <w:rPr/>
            </w:pPr>
            <w:r>
              <w:rPr/>
              <w:t> </w:t>
            </w:r>
          </w:p>
        </w:tc>
        <w:tc>
          <w:tcPr>
            <w:tcW w:w="9821" w:type="dxa"/>
            <w:tcBorders/>
            <w:vAlign w:val="center"/>
          </w:tcPr>
          <w:p>
            <w:pPr>
              <w:pStyle w:val="TableContents"/>
              <w:bidi w:val="0"/>
              <w:spacing w:before="0" w:after="283"/>
              <w:jc w:val="left"/>
              <w:rPr/>
            </w:pPr>
            <w:r>
              <w:rPr/>
              <w:t> </w:t>
            </w:r>
          </w:p>
        </w:tc>
      </w:tr>
      <w:tr>
        <w:trPr/>
        <w:tc>
          <w:tcPr>
            <w:tcW w:w="3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(mm)</w:t>
            </w:r>
          </w:p>
        </w:tc>
        <w:tc>
          <w:tcPr>
            <w:tcW w:w="98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ERISA</w:t>
            </w:r>
            <w:r>
              <w:rPr>
                <w:rFonts w:ascii="Times New Roman" w:hAnsi="Times New Roman"/>
                <w:caps w:val="false"/>
                <w:smallCaps w:val="false"/>
                <w:sz w:val="20"/>
              </w:rPr>
              <w:t>. To the knowledge of the Company, each material employee benefit plan, within the meaning of Section 3(3) of the Employee Retirement Income Security Act of 1974, as amended (“</w:t>
            </w:r>
            <w:r>
              <w:rPr>
                <w:rFonts w:ascii="Times New Roman" w:hAnsi="Times New Roman"/>
                <w:b/>
                <w:caps w:val="false"/>
                <w:smallCaps w:val="false"/>
                <w:sz w:val="20"/>
                <w:u w:val="single"/>
              </w:rPr>
              <w:t>ERISA</w:t>
            </w:r>
            <w:r>
              <w:rPr>
                <w:rFonts w:ascii="Times New Roman" w:hAnsi="Times New Roman"/>
                <w:caps w:val="false"/>
                <w:smallCaps w:val="false"/>
                <w:sz w:val="20"/>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hAnsi="Times New Roman"/>
                <w:b/>
                <w:caps w:val="false"/>
                <w:smallCaps w:val="false"/>
                <w:sz w:val="20"/>
                <w:u w:val="single"/>
              </w:rPr>
              <w:t>Code</w:t>
            </w:r>
            <w:r>
              <w:rPr>
                <w:rFonts w:ascii="Times New Roman" w:hAnsi="Times New Roman"/>
                <w:caps w:val="false"/>
                <w:smallCaps w:val="false"/>
                <w:sz w:val="20"/>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(nn)</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Forward-Looking Statements</w:t>
            </w:r>
            <w:r>
              <w:rPr>
                <w:rFonts w:ascii="Times New Roman" w:hAnsi="Times New Roman"/>
                <w:caps w:val="false"/>
                <w:smallCaps w:val="false"/>
                <w:sz w:val="20"/>
              </w:rPr>
              <w:t>. No forward-looking statement (within the meaning of Section 27A of the Securities Act and Section 21E of the Exchange Act) (a “</w:t>
            </w:r>
            <w:r>
              <w:rPr>
                <w:rFonts w:ascii="Times New Roman" w:hAnsi="Times New Roman"/>
                <w:b/>
                <w:caps w:val="false"/>
                <w:smallCaps w:val="false"/>
                <w:sz w:val="20"/>
                <w:u w:val="single"/>
              </w:rPr>
              <w:t>Forward-Looking Statement</w:t>
            </w:r>
            <w:r>
              <w:rPr>
                <w:rFonts w:ascii="Times New Roman" w:hAnsi="Times New Roman"/>
                <w:caps w:val="false"/>
                <w:smallCaps w:val="false"/>
                <w:sz w:val="20"/>
              </w:rPr>
              <w:t>”) contained in the Registration Statement and the Prospectus has been made or reaffirmed without a reasonable basis or has been disclosed other than in good faith.</w:t>
            </w:r>
          </w:p>
        </w:tc>
      </w:tr>
      <w:tr>
        <w:trPr/>
        <w:tc>
          <w:tcPr>
            <w:tcW w:w="291"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2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(oo)</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Agent Purchases</w:t>
            </w:r>
            <w:r>
              <w:rPr>
                <w:rFonts w:ascii="Times New Roman" w:hAnsi="Times New Roman"/>
                <w:caps w:val="false"/>
                <w:smallCaps w:val="false"/>
                <w:sz w:val="20"/>
              </w:rPr>
              <w:t>. The Company acknowledges and agrees that the Agent has informed the Company that the Agent may, to the extent permitted under the Securities Act and the Exchange Act, purchase and sell Common Stock for its own account while this Agreement is in effect, </w:t>
            </w:r>
            <w:r>
              <w:rPr>
                <w:rFonts w:ascii="Times New Roman" w:hAnsi="Times New Roman"/>
                <w:i/>
                <w:caps w:val="false"/>
                <w:smallCaps w:val="false"/>
                <w:sz w:val="20"/>
              </w:rPr>
              <w:t>provided</w:t>
            </w:r>
            <w:r>
              <w:rPr>
                <w:rFonts w:ascii="Times New Roman" w:hAnsi="Times New Roman"/>
                <w:caps w:val="false"/>
                <w:smallCaps w:val="false"/>
                <w:sz w:val="20"/>
              </w:rPr>
              <w:t>, that the Company shall not be deemed to have authorized or consented to any such purchases or sales by the Agent.</w:t>
            </w:r>
          </w:p>
        </w:tc>
      </w:tr>
      <w:tr>
        <w:trPr/>
        <w:tc>
          <w:tcPr>
            <w:tcW w:w="291"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2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(pp)</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Margin Rules</w:t>
            </w:r>
            <w:r>
              <w:rPr>
                <w:rFonts w:ascii="Times New Roman" w:hAnsi="Times New Roman"/>
                <w:caps w:val="false"/>
                <w:smallCaps w:val="false"/>
                <w:sz w:val="20"/>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tc>
      </w:tr>
      <w:tr>
        <w:trPr/>
        <w:tc>
          <w:tcPr>
            <w:tcW w:w="291"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2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(qq)</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Insurance</w:t>
            </w:r>
            <w:r>
              <w:rPr>
                <w:rFonts w:ascii="Times New Roman" w:hAnsi="Times New Roman"/>
                <w:caps w:val="false"/>
                <w:smallCaps w:val="false"/>
                <w:sz w:val="20"/>
              </w:rPr>
              <w:t>. The Company and each of its Subsidiaries carry, or are covered by, insurance in such amounts and covering such risks as the Company and each of its Subsidiaries reasonably believe are adequate for the conduct of their properties and as is customary for companies engaged in similar businesses in similar industries.</w:t>
            </w:r>
          </w:p>
        </w:tc>
      </w:tr>
      <w:tr>
        <w:trPr/>
        <w:tc>
          <w:tcPr>
            <w:tcW w:w="291"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2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(rr)</w:t>
            </w:r>
          </w:p>
        </w:tc>
        <w:tc>
          <w:tcPr>
            <w:tcW w:w="99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Improper Practices</w:t>
            </w:r>
            <w:r>
              <w:rPr>
                <w:rFonts w:ascii="Times New Roman" w:hAnsi="Times New Roman"/>
                <w:caps w:val="false"/>
                <w:smallCaps w:val="false"/>
                <w:sz w:val="20"/>
              </w:rPr>
              <w:t>. (i) Neither the Company nor the Subsidiaries, nor any director, officer, or employee of the Company or any Subsidiary nor, to the Company’s knowledge,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Prospectus;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or stockholders of the Company or any Subsidiary,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or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 w:hAnsi="Times New Roman"/>
                <w:b/>
                <w:caps w:val="false"/>
                <w:smallCaps w:val="false"/>
                <w:sz w:val="20"/>
                <w:u w:val="single"/>
              </w:rPr>
              <w:t>Anti-Corruption Laws</w:t>
            </w:r>
            <w:r>
              <w:rPr>
                <w:rFonts w:ascii="Times New Roman" w:hAnsi="Times New Roman"/>
                <w:caps w:val="false"/>
                <w:smallCaps w:val="false"/>
                <w:sz w:val="20"/>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(ss)</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Use of Free Writing Prospectuses</w:t>
            </w:r>
            <w:r>
              <w:rPr>
                <w:rFonts w:ascii="Times New Roman" w:hAnsi="Times New Roman"/>
                <w:caps w:val="false"/>
                <w:smallCaps w:val="false"/>
                <w:sz w:val="20"/>
              </w:rPr>
              <w:t>. The Company shall not prepare, use, refer to or distribute any “written communication” that constitutes a “free writing prospectus” as such terms are defined in Rule 405 under the Securities Act with respect to the offering contemplated by this Agreement so long as the Company remains an “ineligible issuer” as such term is defined under Rule 405 under the Securities Act.</w:t>
            </w:r>
          </w:p>
        </w:tc>
      </w:tr>
      <w:tr>
        <w:trPr/>
        <w:tc>
          <w:tcPr>
            <w:tcW w:w="295"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left"/>
              <w:rPr/>
            </w:pPr>
            <w:r>
              <w:rPr/>
              <w:t> </w:t>
            </w:r>
          </w:p>
        </w:tc>
      </w:tr>
      <w:tr>
        <w:trPr/>
        <w:tc>
          <w:tcPr>
            <w:tcW w:w="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(tt)</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Misstatement or Omission in an Issuer Free Writing Prospectus</w:t>
            </w:r>
            <w:r>
              <w:rPr>
                <w:rFonts w:ascii="Times New Roman" w:hAnsi="Times New Roman"/>
                <w:caps w:val="false"/>
                <w:smallCaps w:val="false"/>
                <w:sz w:val="20"/>
              </w:rPr>
              <w:t>. Each Issuer Free Writing Prospectus, as of its issue date and as of each Applicable Time (as defined in </w:t>
            </w:r>
            <w:r>
              <w:rPr>
                <w:rFonts w:ascii="Times New Roman" w:hAnsi="Times New Roman"/>
                <w:caps w:val="false"/>
                <w:smallCaps w:val="false"/>
                <w:sz w:val="20"/>
                <w:u w:val="single"/>
              </w:rPr>
              <w:t>Section 23</w:t>
            </w:r>
            <w:r>
              <w:rPr>
                <w:rFonts w:ascii="Times New Roman" w:hAnsi="Times New Roman"/>
                <w:caps w:val="false"/>
                <w:smallCaps w:val="false"/>
                <w:sz w:val="20"/>
              </w:rPr>
              <w:t>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tc>
      </w:tr>
      <w:tr>
        <w:trPr/>
        <w:tc>
          <w:tcPr>
            <w:tcW w:w="295"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left"/>
              <w:rPr/>
            </w:pPr>
            <w:r>
              <w:rPr/>
              <w:t> </w:t>
            </w:r>
          </w:p>
        </w:tc>
      </w:tr>
      <w:tr>
        <w:trPr/>
        <w:tc>
          <w:tcPr>
            <w:tcW w:w="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(uu)</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Conflicts</w:t>
            </w:r>
            <w:r>
              <w:rPr>
                <w:rFonts w:ascii="Times New Roman" w:hAnsi="Times New Roman"/>
                <w:caps w:val="false"/>
                <w:smallCaps w:val="false"/>
                <w:sz w:val="20"/>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w:t>
            </w:r>
          </w:p>
        </w:tc>
      </w:tr>
      <w:tr>
        <w:trPr/>
        <w:tc>
          <w:tcPr>
            <w:tcW w:w="295"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left"/>
              <w:rPr/>
            </w:pPr>
            <w:r>
              <w:rPr/>
              <w:t> </w:t>
            </w:r>
          </w:p>
        </w:tc>
      </w:tr>
      <w:tr>
        <w:trPr/>
        <w:tc>
          <w:tcPr>
            <w:tcW w:w="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(vv)</w:t>
            </w:r>
          </w:p>
        </w:tc>
        <w:tc>
          <w:tcPr>
            <w:tcW w:w="9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Sanctions</w:t>
            </w:r>
            <w:r>
              <w:rPr>
                <w:rFonts w:ascii="Times New Roman" w:hAnsi="Times New Roman"/>
                <w:caps w:val="false"/>
                <w:smallCaps w:val="false"/>
                <w:sz w:val="20"/>
              </w:rPr>
              <w:t>. (i) The Company represents that, neither the Company nor any of its Subsidiaries (collectively, the “</w:t>
            </w:r>
            <w:r>
              <w:rPr>
                <w:rFonts w:ascii="Times New Roman" w:hAnsi="Times New Roman"/>
                <w:b/>
                <w:caps w:val="false"/>
                <w:smallCaps w:val="false"/>
                <w:sz w:val="20"/>
                <w:u w:val="single"/>
              </w:rPr>
              <w:t>Entity</w:t>
            </w:r>
            <w:r>
              <w:rPr>
                <w:rFonts w:ascii="Times New Roman" w:hAnsi="Times New Roman"/>
                <w:caps w:val="false"/>
                <w:smallCaps w:val="false"/>
                <w:sz w:val="20"/>
              </w:rPr>
              <w:t>”) or any director, officer, or employee or, to its knowledge, any agent, affiliate or representative of the Entity, is a government, individual, or entity (in this paragraph (vv), “</w:t>
            </w:r>
            <w:r>
              <w:rPr>
                <w:rFonts w:ascii="Times New Roman" w:hAnsi="Times New Roman"/>
                <w:b/>
                <w:caps w:val="false"/>
                <w:smallCaps w:val="false"/>
                <w:sz w:val="20"/>
                <w:u w:val="single"/>
              </w:rPr>
              <w:t>Person</w:t>
            </w:r>
            <w:r>
              <w:rPr>
                <w:rFonts w:ascii="Times New Roman" w:hAnsi="Times New Roman"/>
                <w:caps w:val="false"/>
                <w:smallCaps w:val="false"/>
                <w:sz w:val="20"/>
              </w:rPr>
              <w:t>”) that is, or is owned or controlled by a Person that 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the subject of any sanctions administered or enforced by the U.S. Department of the Treasury’s Office of Foreign Assets Control (“</w:t>
      </w:r>
      <w:r>
        <w:rPr>
          <w:rFonts w:ascii="Times New Roman" w:hAnsi="Times New Roman"/>
          <w:b/>
          <w:caps w:val="false"/>
          <w:smallCaps w:val="false"/>
          <w:sz w:val="20"/>
          <w:u w:val="single"/>
        </w:rPr>
        <w:t>OFAC</w:t>
      </w:r>
      <w:r>
        <w:rPr>
          <w:rFonts w:ascii="Times New Roman" w:hAnsi="Times New Roman"/>
          <w:caps w:val="false"/>
          <w:smallCaps w:val="false"/>
          <w:sz w:val="20"/>
        </w:rPr>
        <w:t>”), the United Nations Security Council, the European Union, or His Majesty’s Treasury, or other relevant sanctions authorities, including, without limitation, designation on OFAC’s Specially Designated Nationals and Blocked Persons List or OFAC’s Foreign Sanctions Evaders List (as amended, collectively, “</w:t>
      </w:r>
      <w:r>
        <w:rPr>
          <w:rFonts w:ascii="Times New Roman" w:hAnsi="Times New Roman"/>
          <w:b/>
          <w:caps w:val="false"/>
          <w:smallCaps w:val="false"/>
          <w:sz w:val="20"/>
          <w:u w:val="single"/>
        </w:rPr>
        <w:t>Sanctions</w:t>
      </w:r>
      <w:r>
        <w:rPr>
          <w:rFonts w:ascii="Times New Roman" w:hAnsi="Times New Roman"/>
          <w:caps w:val="false"/>
          <w:smallCaps w:val="false"/>
          <w:sz w:val="20"/>
        </w:rPr>
        <w:t>”), 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located, organized or resident in a country or territory that is the subject of comprehensive Sanctions that broadly prohibit dealings with that country or territory (including, without limitation, Cuba, Iran, North Korea, Syria (before July 1, 2025), the so-called Donetsk People’s Republic, the so-called Luhansk People’s Republic and the Crimea Region of the Ukraine) (the “</w:t>
      </w:r>
      <w:r>
        <w:rPr>
          <w:rFonts w:ascii="Times New Roman" w:hAnsi="Times New Roman"/>
          <w:b/>
          <w:caps w:val="false"/>
          <w:smallCaps w:val="false"/>
          <w:sz w:val="20"/>
        </w:rPr>
        <w:t>Sanctioned Countries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 w:hAnsi="Times New Roman"/>
          <w:caps w:val="false"/>
          <w:smallCaps w:val="false"/>
          <w:sz w:val="20"/>
        </w:rPr>
      </w:pPr>
      <w:r>
        <w:rPr>
          <w:rFonts w:ascii="Times New Roman" w:hAnsi="Times New Roman"/>
          <w:caps w:val="false"/>
          <w:smallCaps w:val="false"/>
          <w:sz w:val="20"/>
        </w:rPr>
        <w:t>(ii) The Entity represents and covenants that it will not, directly or indirectly, use the proceeds of the offering, or lend, contribute or otherwise make available such proceeds to any subsidiary, joint venture partner or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to fund or facilitate any activities or business of or with any Person or in any country or territory that, at the time of such funding or facilitation, is the subject of Sanctions or is a Sanctioned Country;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in any other manner that will result in a violation of Sanctions by any Person (including any Person participating in the offering, whether as underwriter, advisor, investor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 w:hAnsi="Times New Roman"/>
          <w:caps w:val="false"/>
          <w:smallCaps w:val="false"/>
          <w:sz w:val="20"/>
        </w:rPr>
      </w:pPr>
      <w:r>
        <w:rPr>
          <w:rFonts w:ascii="Times New Roman" w:hAnsi="Times New Roman"/>
          <w:caps w:val="false"/>
          <w:smallCaps w:val="false"/>
          <w:sz w:val="20"/>
        </w:rPr>
        <w:t>(iii) The Entity represents and covenants that, except as detailed in the Registration Statement and the Prospectus, since April 24, 2019, it has not knowingly engaged in, is not now knowingly engaged in, and will not engage in, any dealings or transactions with any Person, or in any country or territory, that at the time of the dealing or transaction is or was the subject of Sanctions or is or was a Sanctioned Country, in each case, in violation of Sanctions.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
        <w:gridCol w:w="9854"/>
      </w:tblGrid>
      <w:tr>
        <w:trPr/>
        <w:tc>
          <w:tcPr>
            <w:tcW w:w="3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(ww)</w:t>
            </w:r>
          </w:p>
        </w:tc>
        <w:tc>
          <w:tcPr>
            <w:tcW w:w="98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Stock Transfer Taxes</w:t>
            </w:r>
            <w:r>
              <w:rPr>
                <w:rFonts w:ascii="Times New Roman" w:hAnsi="Times New Roman"/>
                <w:caps w:val="false"/>
                <w:smallCaps w:val="false"/>
                <w:sz w:val="20"/>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tc>
      </w:tr>
      <w:tr>
        <w:trPr/>
        <w:tc>
          <w:tcPr>
            <w:tcW w:w="351" w:type="dxa"/>
            <w:tcBorders/>
            <w:vAlign w:val="center"/>
          </w:tcPr>
          <w:p>
            <w:pPr>
              <w:pStyle w:val="TableContents"/>
              <w:bidi w:val="0"/>
              <w:spacing w:before="0" w:after="283"/>
              <w:jc w:val="left"/>
              <w:rPr/>
            </w:pPr>
            <w:r>
              <w:rPr/>
              <w:t> </w:t>
            </w:r>
          </w:p>
        </w:tc>
        <w:tc>
          <w:tcPr>
            <w:tcW w:w="9854" w:type="dxa"/>
            <w:tcBorders/>
            <w:vAlign w:val="center"/>
          </w:tcPr>
          <w:p>
            <w:pPr>
              <w:pStyle w:val="TableContents"/>
              <w:bidi w:val="0"/>
              <w:spacing w:before="0" w:after="283"/>
              <w:jc w:val="left"/>
              <w:rPr/>
            </w:pPr>
            <w:r>
              <w:rPr/>
              <w:t> </w:t>
            </w:r>
          </w:p>
        </w:tc>
      </w:tr>
      <w:tr>
        <w:trPr/>
        <w:tc>
          <w:tcPr>
            <w:tcW w:w="3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(xx)</w:t>
            </w:r>
          </w:p>
        </w:tc>
        <w:tc>
          <w:tcPr>
            <w:tcW w:w="98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Compliance with Applicable Laws</w:t>
            </w:r>
            <w:r>
              <w:rPr>
                <w:rFonts w:ascii="Times New Roman" w:hAnsi="Times New Roman"/>
                <w:caps w:val="false"/>
                <w:smallCaps w:val="false"/>
                <w:sz w:val="20"/>
              </w:rPr>
              <w:t>. The Company (A) to its knowledge, is and at all times has been in material compliance with all statutes, rules and regulations applicable to the ownership, testing, development, manufacture, packaging, processing, use, distribution, marketing, labeling, promotion, sale, offer for sale, storage, import, export or disposal of any product under development, manufactured or distributed by the Company, including all applicable fraud and abuse statutes, rules and regulations (“</w:t>
            </w:r>
            <w:r>
              <w:rPr>
                <w:rFonts w:ascii="Times New Roman" w:hAnsi="Times New Roman"/>
                <w:b/>
                <w:caps w:val="false"/>
                <w:smallCaps w:val="false"/>
                <w:sz w:val="20"/>
                <w:u w:val="single"/>
              </w:rPr>
              <w:t>Applicable Laws</w:t>
            </w:r>
            <w:r>
              <w:rPr>
                <w:rFonts w:ascii="Times New Roman" w:hAnsi="Times New Roman"/>
                <w:caps w:val="false"/>
                <w:smallCaps w:val="false"/>
                <w:sz w:val="20"/>
              </w:rPr>
              <w:t>”), (B) has not received any Form 483 from the FDA, notice of adverse finding, warning letter, or other written correspondence or notice from the FDA, the EMA, or any other federal, state, local or foreign Governmental Authority or third party alleging or asserting material noncompliance with any Applicable Laws or any licenses, certificates, approvals, clearances, authorizations, permits and supplements or amendments thereto required by any such Applicable Laws (“</w:t>
            </w:r>
            <w:r>
              <w:rPr>
                <w:rFonts w:ascii="Times New Roman" w:hAnsi="Times New Roman"/>
                <w:b/>
                <w:caps w:val="false"/>
                <w:smallCaps w:val="false"/>
                <w:sz w:val="20"/>
                <w:u w:val="single"/>
              </w:rPr>
              <w:t>Authorizations</w:t>
            </w:r>
            <w:r>
              <w:rPr>
                <w:rFonts w:ascii="Times New Roman" w:hAnsi="Times New Roman"/>
                <w:caps w:val="false"/>
                <w:smallCaps w:val="false"/>
                <w:sz w:val="20"/>
              </w:rPr>
              <w:t>”), which would, individually or in the aggregate, result in a Material Adverse Effect; (C) possesses all material Authorizations and such Authorizations are valid and in full force and effect and the Company is not in material violation of any term of any such Authorizations; (D) has not received written notice of any claim, action, suit, proceeding, hearing, enforcement, investigation, arbitration or other action from the FDA, the EMA, or any other federal, state, local or foreign Governmental Authority or third party alleging that any Company product, operation or activity is in material violation of any Applicable Laws or Authorizations and has no knowledge that the FDA, the EMA, or any other or any other federal, state, local or foreign Governmental Authority or third party is considering any such claim, litigation, arbitration, action, suit, investigation or proceeding against the Company; (E) has not received notice that the FDA, the EMA, or any other federal, state, local or foreign Governmental Authority has taken, is taking or intends to take action to limit, suspend, modify or revoke any material Authorizations and has no knowledge that the FDA, the EMA, or any other federal state, local or foreign Governmental Authority is considering such action; and (F) to its knowledge, has filed, obtained, maintained or submitted all reports, documents, forms, notices, applications, records, claims, submissions and supplements or amendments as required by any Applicable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materially complete and correct on the date filed (or were corrected or supplemented by a subsequent submission). Except in each case as disclosed in the Registration Statement or the Prospectus, neither the Company, any of its subsidiaries, nor, to the Company’s knowledge, any of their respective employees, officers, directors, or agents is a party to any corporate integrity agreements, monitoring agreements, consent decrees, settlement orders, or similar agreements with or imposed by any governmental or regulatory authority. Additionally, with respect to the business operations of the Company. Additionally, except in each case as disclosed in the Registration Statement or the Prospectus, neither the Company,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(yy)</w:t>
            </w:r>
          </w:p>
        </w:tc>
        <w:tc>
          <w:tcPr>
            <w:tcW w:w="99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Statistical and Market-Related Data</w:t>
            </w:r>
            <w:r>
              <w:rPr>
                <w:rFonts w:ascii="Times New Roman" w:hAnsi="Times New Roman"/>
                <w:caps w:val="false"/>
                <w:smallCaps w:val="false"/>
                <w:sz w:val="20"/>
              </w:rPr>
              <w:t>. The statistical, demographic and market-related data included in the Registration Statement and Prospectus are based on or derived from sources that the Company believes to be reliable and accurate or represent the Company’s good faith estimates that are made on the basis of data derived from such sources.</w:t>
            </w:r>
          </w:p>
        </w:tc>
      </w:tr>
      <w:tr>
        <w:trPr/>
        <w:tc>
          <w:tcPr>
            <w:tcW w:w="292"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283"/>
              <w:jc w:val="left"/>
              <w:rPr/>
            </w:pPr>
            <w:r>
              <w:rPr/>
              <w:t> </w:t>
            </w:r>
          </w:p>
        </w:tc>
      </w:tr>
      <w:tr>
        <w:trPr/>
        <w:tc>
          <w:tcPr>
            <w:tcW w:w="2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(zz)</w:t>
            </w:r>
          </w:p>
        </w:tc>
        <w:tc>
          <w:tcPr>
            <w:tcW w:w="99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Cybersecurity</w:t>
            </w:r>
            <w:r>
              <w:rPr>
                <w:rFonts w:ascii="Times New Roman" w:hAnsi="Times New Roman"/>
                <w:caps w:val="false"/>
                <w:smallCaps w:val="false"/>
                <w:sz w:val="20"/>
              </w:rPr>
              <w:t>. The Company and its subsidiaries’ information technology assets and equipment, computers, systems, networks, hardware, software, websites, applications, and databases (collectively, “</w:t>
            </w:r>
            <w:r>
              <w:rPr>
                <w:rFonts w:ascii="Times New Roman" w:hAnsi="Times New Roman"/>
                <w:b/>
                <w:caps w:val="false"/>
                <w:smallCaps w:val="false"/>
                <w:sz w:val="20"/>
                <w:u w:val="single"/>
              </w:rPr>
              <w:t>IT Systems</w:t>
            </w:r>
            <w:r>
              <w:rPr>
                <w:rFonts w:ascii="Times New Roman" w:hAnsi="Times New Roman"/>
                <w:caps w:val="false"/>
                <w:smallCaps w:val="false"/>
                <w:sz w:val="20"/>
              </w:rPr>
              <w:t>”) are, to the Company’s knowledge,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and, to the Company’s knowledge,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(as defined below) and all sensitive, confidential or regulated data (“</w:t>
            </w:r>
            <w:r>
              <w:rPr>
                <w:rFonts w:ascii="Times New Roman" w:hAnsi="Times New Roman"/>
                <w:b/>
                <w:caps w:val="false"/>
                <w:smallCaps w:val="false"/>
                <w:sz w:val="20"/>
                <w:u w:val="single"/>
              </w:rPr>
              <w:t>Confidential Data</w:t>
            </w:r>
            <w:r>
              <w:rPr>
                <w:rFonts w:ascii="Times New Roman" w:hAnsi="Times New Roman"/>
                <w:caps w:val="false"/>
                <w:smallCaps w:val="false"/>
                <w:sz w:val="20"/>
              </w:rPr>
              <w:t>”) used in connection with their businesses. “Personal Data” means, any definition provided by Privacy Laws for any similar term (e.g., “personal data,” “personally identifiable information,” “PII” or “protected health information”), information regarding or capable of being associated with an identified or identifiable individual, household or device.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to the Company’s knowledge, its subsidiaries are presently in material compliance with all applicable Privacy Laws (as defined below) and all judgments, orders, rules and regulations of any court or arbitrator or governmental or regulatory authority and contractual obligations relating to the IT Systems, Confidential Data, and Personal Data and to the protection of such IT Systems, Confidential Data, and Personal Data from unauthorized use, access, misappropriation or modification.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(aaa)</w:t>
            </w:r>
          </w:p>
        </w:tc>
        <w:tc>
          <w:tcPr>
            <w:tcW w:w="98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Compliance with Data Privacy Laws</w:t>
            </w:r>
            <w:r>
              <w:rPr>
                <w:rFonts w:ascii="Times New Roman" w:hAnsi="Times New Roman"/>
                <w:caps w:val="false"/>
                <w:smallCaps w:val="false"/>
                <w:sz w:val="20"/>
              </w:rPr>
              <w:t>. The Company and, to the Company’s knowledge, its subsidiaries are, and at all prior times were, in material compliance with all applicable state and federal data privacy and security laws and regulations, including without limitation the Health Insurance Portability and Accountability Act of 1996, as amended by the Health Information Technology for Economic and Clinical Health Act (collectively, “</w:t>
            </w:r>
            <w:r>
              <w:rPr>
                <w:rFonts w:ascii="Times New Roman" w:hAnsi="Times New Roman"/>
                <w:b/>
                <w:caps w:val="false"/>
                <w:smallCaps w:val="false"/>
                <w:sz w:val="20"/>
                <w:u w:val="single"/>
              </w:rPr>
              <w:t>HIPAA</w:t>
            </w:r>
            <w:r>
              <w:rPr>
                <w:rFonts w:ascii="Times New Roman" w:hAnsi="Times New Roman"/>
                <w:caps w:val="false"/>
                <w:smallCaps w:val="false"/>
                <w:sz w:val="20"/>
              </w:rPr>
              <w:t>”), the California Consumer Privacy Act (“</w:t>
            </w:r>
            <w:r>
              <w:rPr>
                <w:rFonts w:ascii="Times New Roman" w:hAnsi="Times New Roman"/>
                <w:b/>
                <w:caps w:val="false"/>
                <w:smallCaps w:val="false"/>
                <w:sz w:val="20"/>
                <w:u w:val="single"/>
              </w:rPr>
              <w:t>CCPA</w:t>
            </w:r>
            <w:r>
              <w:rPr>
                <w:rFonts w:ascii="Times New Roman" w:hAnsi="Times New Roman"/>
                <w:caps w:val="false"/>
                <w:smallCaps w:val="false"/>
                <w:sz w:val="20"/>
              </w:rPr>
              <w:t>”), and the European Union General Data Protection Regulation (“</w:t>
            </w:r>
            <w:r>
              <w:rPr>
                <w:rFonts w:ascii="Times New Roman" w:hAnsi="Times New Roman"/>
                <w:b/>
                <w:caps w:val="false"/>
                <w:smallCaps w:val="false"/>
                <w:sz w:val="20"/>
                <w:u w:val="single"/>
              </w:rPr>
              <w:t>GDPR</w:t>
            </w:r>
            <w:r>
              <w:rPr>
                <w:rFonts w:ascii="Times New Roman" w:hAnsi="Times New Roman"/>
                <w:caps w:val="false"/>
                <w:smallCaps w:val="false"/>
                <w:sz w:val="20"/>
              </w:rPr>
              <w:t>”) (EU 2016/679) (collectively, the “</w:t>
            </w:r>
            <w:r>
              <w:rPr>
                <w:rFonts w:ascii="Times New Roman" w:hAnsi="Times New Roman"/>
                <w:b/>
                <w:caps w:val="false"/>
                <w:smallCaps w:val="false"/>
                <w:sz w:val="20"/>
                <w:u w:val="single"/>
              </w:rPr>
              <w:t>Privacy Laws</w:t>
            </w:r>
            <w:r>
              <w:rPr>
                <w:rFonts w:ascii="Times New Roman" w:hAnsi="Times New Roman"/>
                <w:caps w:val="false"/>
                <w:smallCaps w:val="false"/>
                <w:sz w:val="20"/>
              </w:rPr>
              <w:t>”). The Company has in place, complies with, and takes commercially reasonable steps to comply in all material respects with their policies and procedures relating to data privacy and security and the collection, storage, use, processing, disclosure, handling, and analysis of Personal Data and Confidential Data (the “</w:t>
            </w:r>
            <w:r>
              <w:rPr>
                <w:rFonts w:ascii="Times New Roman" w:hAnsi="Times New Roman"/>
                <w:b/>
                <w:caps w:val="false"/>
                <w:smallCaps w:val="false"/>
                <w:sz w:val="20"/>
                <w:u w:val="single"/>
              </w:rPr>
              <w:t>Policies</w:t>
            </w:r>
            <w:r>
              <w:rPr>
                <w:rFonts w:ascii="Times New Roman" w:hAnsi="Times New Roman"/>
                <w:caps w:val="false"/>
                <w:smallCaps w:val="false"/>
                <w:sz w:val="20"/>
              </w:rPr>
              <w:t>”). The Company has at all times made all material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material liability under or relating to, or actual or potential violation of, any of the Privacy Laws, and has no knowledge of any event or condition that would reasonably be expected to result in any such notice; (ii) is currently conducting or paying for, in whole or in part, any material investigation, remediation, or other corrective action pursuant to any Privacy Law; or (iii) is a party to any order, decree, or agreement that imposes any material obligation or liability under any Privacy Law.</w:t>
            </w:r>
          </w:p>
        </w:tc>
      </w:tr>
      <w:tr>
        <w:trPr/>
        <w:tc>
          <w:tcPr>
            <w:tcW w:w="398" w:type="dxa"/>
            <w:tcBorders/>
            <w:vAlign w:val="center"/>
          </w:tcPr>
          <w:p>
            <w:pPr>
              <w:pStyle w:val="TableContents"/>
              <w:bidi w:val="0"/>
              <w:spacing w:before="0" w:after="283"/>
              <w:jc w:val="left"/>
              <w:rPr/>
            </w:pPr>
            <w:r>
              <w:rPr/>
              <w:t> </w:t>
            </w:r>
          </w:p>
        </w:tc>
        <w:tc>
          <w:tcPr>
            <w:tcW w:w="9807" w:type="dxa"/>
            <w:tcBorders/>
            <w:vAlign w:val="center"/>
          </w:tcPr>
          <w:p>
            <w:pPr>
              <w:pStyle w:val="TableContents"/>
              <w:bidi w:val="0"/>
              <w:spacing w:before="0" w:after="283"/>
              <w:jc w:val="left"/>
              <w:rPr/>
            </w:pPr>
            <w:r>
              <w:rPr/>
              <w:t> </w:t>
            </w:r>
          </w:p>
        </w:tc>
      </w:tr>
      <w:tr>
        <w:trPr/>
        <w:tc>
          <w:tcPr>
            <w:tcW w:w="3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(bbb)</w:t>
            </w:r>
          </w:p>
        </w:tc>
        <w:tc>
          <w:tcPr>
            <w:tcW w:w="98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Listing</w:t>
            </w:r>
            <w:r>
              <w:rPr>
                <w:rFonts w:ascii="Times New Roman" w:hAnsi="Times New Roman"/>
                <w:caps w:val="false"/>
                <w:smallCaps w:val="false"/>
                <w:sz w:val="20"/>
              </w:rPr>
              <w:t>. The Common Stock is registered pursuant to Section 12(b) or 12(g) of the Exchange Act and is listed on the Exchange, and the Company has taken no action designed to, or likely to have the effect of, terminating the registration of the Common Stock under the Exchange Act or delisting the Stock from the Exchange, nor has the Company received any notification that the Commission or the Exchange is contemplating terminating such registration or listing. To the Company’s knowledge, it is in compliance with all applicable listing requirements of the Exchange in all material respects.</w:t>
            </w:r>
          </w:p>
        </w:tc>
      </w:tr>
      <w:tr>
        <w:trPr/>
        <w:tc>
          <w:tcPr>
            <w:tcW w:w="398" w:type="dxa"/>
            <w:tcBorders/>
            <w:vAlign w:val="center"/>
          </w:tcPr>
          <w:p>
            <w:pPr>
              <w:pStyle w:val="TableContents"/>
              <w:bidi w:val="0"/>
              <w:spacing w:before="0" w:after="283"/>
              <w:jc w:val="left"/>
              <w:rPr/>
            </w:pPr>
            <w:r>
              <w:rPr/>
              <w:t> </w:t>
            </w:r>
          </w:p>
        </w:tc>
        <w:tc>
          <w:tcPr>
            <w:tcW w:w="9807" w:type="dxa"/>
            <w:tcBorders/>
            <w:vAlign w:val="center"/>
          </w:tcPr>
          <w:p>
            <w:pPr>
              <w:pStyle w:val="TableContents"/>
              <w:bidi w:val="0"/>
              <w:spacing w:before="0" w:after="283"/>
              <w:jc w:val="left"/>
              <w:rPr/>
            </w:pPr>
            <w:r>
              <w:rPr/>
              <w:t> </w:t>
            </w:r>
          </w:p>
        </w:tc>
      </w:tr>
      <w:tr>
        <w:trPr/>
        <w:tc>
          <w:tcPr>
            <w:tcW w:w="3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(ccc)</w:t>
            </w:r>
          </w:p>
        </w:tc>
        <w:tc>
          <w:tcPr>
            <w:tcW w:w="98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Outbound Investment Security Program</w:t>
            </w:r>
            <w:r>
              <w:rPr>
                <w:rFonts w:ascii="Times New Roman" w:hAnsi="Times New Roman"/>
                <w:caps w:val="false"/>
                <w:smallCaps w:val="false"/>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(“Covered Activity”).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100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Covenants of the Company</w:t>
            </w:r>
            <w:r>
              <w:rPr>
                <w:rFonts w:ascii="Times New Roman" w:hAnsi="Times New Roman"/>
                <w:caps w:val="false"/>
                <w:smallCaps w:val="false"/>
                <w:sz w:val="20"/>
              </w:rPr>
              <w:t>. The Company covenants and agrees with the Agent that:</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Registration Statement Amendments</w:t>
            </w:r>
            <w:r>
              <w:rPr>
                <w:rFonts w:ascii="Times New Roman" w:hAnsi="Times New Roman"/>
                <w:caps w:val="false"/>
                <w:smallCaps w:val="false"/>
                <w:sz w:val="20"/>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or similar rule), (i) the Company will notify the Agent promptly of the time when any subsequent amendment to the Registration Statement, other than documents incorporated by reference, has been filed with the Commission and/or has become effective or any subsequent supplement to the Prospectus related to the Placement Shares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the failure of the Agent to make such request shall not relieve the Company of any obligation or liability hereunder, or affect the Agent’s right to rely on the representations and warranties made by the Company in this Agreement and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further</w:t>
            </w:r>
            <w:r>
              <w:rPr>
                <w:rFonts w:ascii="Times New Roman" w:hAnsi="Times New Roman"/>
                <w:caps w:val="false"/>
                <w:smallCaps w:val="false"/>
                <w:sz w:val="20"/>
              </w:rPr>
              <w:t>,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Agent within a reasonable period of time before the filing and the Agent has not objected thereto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(A) the failure of the Agent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the filing does not name the Agent or does not relate to a Placement or other transaction contemplated hereunder in respect of Placement Shares, and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further</w:t>
            </w:r>
            <w:r>
              <w:rPr>
                <w:rFonts w:ascii="Times New Roman" w:hAnsi="Times New Roman"/>
                <w:caps w:val="false"/>
                <w:smallCaps w:val="false"/>
                <w:sz w:val="20"/>
              </w:rPr>
              <w:t>, that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hAnsi="Times New Roman"/>
                <w:caps w:val="false"/>
                <w:smallCaps w:val="false"/>
                <w:sz w:val="20"/>
                <w:u w:val="single"/>
              </w:rPr>
              <w:t>Section 7(a)</w:t>
            </w:r>
            <w:r>
              <w:rPr>
                <w:rFonts w:ascii="Times New Roman" w:hAnsi="Times New Roman"/>
                <w:caps w:val="false"/>
                <w:smallCaps w:val="false"/>
                <w:sz w:val="20"/>
              </w:rPr>
              <w:t>, based on the Company’s reasonable opinion or reasonable objections, shall be made exclusively by the Company).</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Notice of Commission Stop Orders</w:t>
            </w:r>
            <w:r>
              <w:rPr>
                <w:rFonts w:ascii="Times New Roman" w:hAnsi="Times New Roman"/>
                <w:caps w:val="false"/>
                <w:smallCaps w:val="false"/>
                <w:sz w:val="20"/>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 in all cases, solely to the extent any such request relates to the transactions contemplated hereby.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Delivery of Prospectus; Subsequent Changes</w:t>
            </w:r>
            <w:r>
              <w:rPr>
                <w:rFonts w:ascii="Times New Roman" w:hAnsi="Times New Roman"/>
                <w:caps w:val="false"/>
                <w:smallCaps w:val="false"/>
                <w:sz w:val="20"/>
              </w:rPr>
              <w:t>.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similar rule), the Company will comply with all requirements imposed upon it by the Securities Act, as from time to time in force, and to file on or before their respective due dates (taking into account all available extensions and/or grace periods)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 promptly of all such filings.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Listing of Placement Shares</w:t>
            </w:r>
            <w:r>
              <w:rPr>
                <w:rFonts w:ascii="Times New Roman" w:hAnsi="Times New Roman"/>
                <w:caps w:val="false"/>
                <w:smallCaps w:val="false"/>
                <w:sz w:val="20"/>
              </w:rPr>
              <w:t>. Prior to the date of the first Placement Notice, the Company will use its reasonable best efforts to cause the Placement Shares to be listed on the Exchange.</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Delivery of Registration Statement and Prospectus</w:t>
            </w:r>
            <w:r>
              <w:rPr>
                <w:rFonts w:ascii="Times New Roman" w:hAnsi="Times New Roman"/>
                <w:caps w:val="false"/>
                <w:smallCaps w:val="false"/>
                <w:sz w:val="20"/>
              </w:rPr>
              <w:t>. The Company will furnish to the Agent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the Company shall not be required to furnish any document (other than the Prospectus) to the Agent to the extent such document is available on EDGAR.</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Earning Statement</w:t>
            </w:r>
            <w:r>
              <w:rPr>
                <w:rFonts w:ascii="Times New Roman" w:hAnsi="Times New Roman"/>
                <w:caps w:val="false"/>
                <w:smallCaps w:val="false"/>
                <w:sz w:val="20"/>
              </w:rPr>
              <w:t>. The Company will make generally available to its security holders as soon as practicable, but in any event not later than 15 months after the end of the Company’s current fiscal quarter, an earning statement covering a 12-month period that satisfies the provisions of Section 11(a) and Rule 158 of the Securities Act.</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Use of Proceeds</w:t>
            </w:r>
            <w:r>
              <w:rPr>
                <w:rFonts w:ascii="Times New Roman" w:hAnsi="Times New Roman"/>
                <w:caps w:val="false"/>
                <w:smallCaps w:val="false"/>
                <w:sz w:val="20"/>
              </w:rPr>
              <w:t>. The Company will use the Net Proceeds as described in the Prospectus in the section entitled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10019"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Notice of Other Sales</w:t>
            </w:r>
            <w:r>
              <w:rPr>
                <w:rFonts w:ascii="Times New Roman" w:hAnsi="Times New Roman"/>
                <w:caps w:val="false"/>
                <w:smallCaps w:val="false"/>
                <w:sz w:val="20"/>
              </w:rPr>
              <w:t>.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(5th) Trading Day immediately prior to the date on which any Placement Notice is delivered to Agent hereunder and ending on the fifth (5th)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sixtieth (60th) day immediately following the termination of this Agreement;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such restrictions will not be required in connection with the Company’s issuance or sale of (i) Common Stock, options to purchase Common Stock or other equity awards for Common Stock, or Common Stock issuable upon the exercise of options or upon vesting and settlement of equity awards, in each case, pursuant to any employee or director stock option or benefits plan, stock ownership plan or dividend reinvestment plan (but not Common Stock subject to a waiver to exceed plan limits in its dividend reinvestment plan) or other compensation plan of the Company whether now in effect or hereafter implemented (including any amendment(s) or modifications to the foregoing), (ii) Common Stock issuable upon conversion of securities or the exercise of warrants, options or other rights in effect or outstanding, and disclosed in filings by the Company available on EDGAR or any successor system or otherwise in writing to the Agent and (iii) Common Stock or securities convertible into or exchangeable for shares of Common Stock as consideration for mergers, acquisitions, other business combinations, joint ventures, or strategic alliances marketing or distribution arrangements, collaboration agreements, co-promotion agreements or intellectual property license agreements occurring after the date of this Agreement which are not issued for the primary purpose of capital raising.</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Change of Circumstances</w:t>
            </w:r>
            <w:r>
              <w:rPr>
                <w:rFonts w:ascii="Times New Roman" w:hAnsi="Times New Roman"/>
                <w:caps w:val="false"/>
                <w:smallCaps w:val="false"/>
                <w:sz w:val="20"/>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100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Due Diligence Cooperation</w:t>
            </w:r>
            <w:r>
              <w:rPr>
                <w:rFonts w:ascii="Times New Roman" w:hAnsi="Times New Roman"/>
                <w:caps w:val="false"/>
                <w:smallCaps w:val="false"/>
                <w:sz w:val="20"/>
              </w:rPr>
              <w:t>. During the term of the Agreement,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tc>
      </w:tr>
      <w:tr>
        <w:trPr/>
        <w:tc>
          <w:tcPr>
            <w:tcW w:w="186" w:type="dxa"/>
            <w:tcBorders/>
            <w:vAlign w:val="center"/>
          </w:tcPr>
          <w:p>
            <w:pPr>
              <w:pStyle w:val="TableContents"/>
              <w:bidi w:val="0"/>
              <w:spacing w:before="0" w:after="283"/>
              <w:jc w:val="left"/>
              <w:rPr/>
            </w:pPr>
            <w:r>
              <w:rPr/>
              <w:t> </w:t>
            </w:r>
          </w:p>
        </w:tc>
        <w:tc>
          <w:tcPr>
            <w:tcW w:w="10019" w:type="dxa"/>
            <w:tcBorders/>
            <w:vAlign w:val="center"/>
          </w:tcPr>
          <w:p>
            <w:pPr>
              <w:pStyle w:val="TableContents"/>
              <w:bidi w:val="0"/>
              <w:spacing w:before="0" w:after="283"/>
              <w:jc w:val="left"/>
              <w:rPr/>
            </w:pPr>
            <w:r>
              <w:rPr/>
              <w:t> </w:t>
            </w:r>
          </w:p>
        </w:tc>
      </w:tr>
      <w:tr>
        <w:trPr/>
        <w:tc>
          <w:tcPr>
            <w:tcW w:w="1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100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Required Filings Relating to Placement of Placement Shares</w:t>
            </w:r>
            <w:r>
              <w:rPr>
                <w:rFonts w:ascii="Times New Roman" w:hAnsi="Times New Roman"/>
                <w:caps w:val="false"/>
                <w:smallCaps w:val="false"/>
                <w:sz w:val="20"/>
              </w:rPr>
              <w:t>. The Company shall disclose, in its quarterly reports on Form 10-Q and in its annual report on Form 10-K to be filed by the Company with the Commission from time to time, the number of the Placement Shares sold through the Agent under this Agreement and the Net Proceeds to the Company during the relevant quarter or, in the case of an Annual Report on Form 10-K, during the fiscal year covered by such Annual Report and the fourth quarter of such fiscal year. The Company agrees that on such dates as the Securities Act shall require, the Company will (i) file a prospectus supplement with the Commission under the applicable paragraph of Rule 424(b) under the Securities Act (each and every filing date under Rule 424(b), a “</w:t>
            </w:r>
            <w:r>
              <w:rPr>
                <w:rFonts w:ascii="Times New Roman" w:hAnsi="Times New Roman"/>
                <w:b/>
                <w:caps w:val="false"/>
                <w:smallCaps w:val="false"/>
                <w:sz w:val="20"/>
                <w:u w:val="single"/>
              </w:rPr>
              <w:t>Filing Date</w:t>
            </w:r>
            <w:r>
              <w:rPr>
                <w:rFonts w:ascii="Times New Roman" w:hAnsi="Times New Roman"/>
                <w:caps w:val="false"/>
                <w:smallCaps w:val="false"/>
                <w:sz w:val="20"/>
              </w:rPr>
              <w:t>”), which prospectus supplement will set forth, within the relevant period, the number of Placement Shares sold through the Agent under this Agreement,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535" w:type="dxa"/>
        <w:jc w:val="left"/>
        <w:tblInd w:w="0" w:type="dxa"/>
        <w:tblLayout w:type="fixed"/>
        <w:tblCellMar>
          <w:top w:w="0" w:type="dxa"/>
          <w:left w:w="0" w:type="dxa"/>
          <w:bottom w:w="0" w:type="dxa"/>
          <w:right w:w="0" w:type="dxa"/>
        </w:tblCellMar>
      </w:tblPr>
      <w:tblGrid>
        <w:gridCol w:w="200"/>
        <w:gridCol w:w="9335"/>
      </w:tblGrid>
      <w:tr>
        <w:trPr/>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93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Representation Dates; Certificate</w:t>
            </w:r>
            <w:r>
              <w:rPr>
                <w:rFonts w:ascii="Times New Roman" w:hAnsi="Times New Roman"/>
                <w:caps w:val="false"/>
                <w:smallCaps w:val="false"/>
                <w:sz w:val="20"/>
              </w:rPr>
              <w:t>. (1) Prior to the date of the first Placement Notice and (2) each time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 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(ii) files an annual report on Form 10-K under the Exchange Act (including any Form 10-K/A containing amended financial information or a material amendment to the previously filed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(iii) files its quarterly reports on Form 10-Q under the Exchange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hAnsi="Times New Roman"/>
          <w:b/>
          <w:caps w:val="false"/>
          <w:smallCaps w:val="false"/>
          <w:sz w:val="20"/>
          <w:u w:val="single"/>
        </w:rPr>
        <w:t>Representation Date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shall furnish the Agent (but in the case of clause (iv) above only if the Agent reasonably determines that the information contained in such Form 8-K is material) with a certificate dated the Representation Date, in form and substance reasonably satisfactory to the Agent and its counsel. The requirement to provide a certificate under this </w:t>
      </w:r>
      <w:r>
        <w:rPr>
          <w:rFonts w:ascii="Times New Roman" w:hAnsi="Times New Roman"/>
          <w:caps w:val="false"/>
          <w:smallCaps w:val="false"/>
          <w:sz w:val="20"/>
          <w:u w:val="single"/>
        </w:rPr>
        <w:t>Section 7(l)</w:t>
      </w:r>
      <w:r>
        <w:rPr>
          <w:rFonts w:ascii="Times New Roman" w:hAnsi="Times New Roman"/>
          <w:caps w:val="false"/>
          <w:smallCaps w:val="false"/>
          <w:sz w:val="20"/>
        </w:rPr>
        <w:t> shall be automatically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Notwithstanding the foregoing, if the Company subsequently decides to sell Placement Shares following a Representation Date the Company relied on such waiver or a Suspension was in effect and did not provide the Agent with a certificate under this </w:t>
      </w:r>
      <w:r>
        <w:rPr>
          <w:rFonts w:ascii="Times New Roman" w:hAnsi="Times New Roman"/>
          <w:caps w:val="false"/>
          <w:smallCaps w:val="false"/>
          <w:sz w:val="20"/>
          <w:u w:val="single"/>
        </w:rPr>
        <w:t>Section 7(l)</w:t>
      </w:r>
      <w:r>
        <w:rPr>
          <w:rFonts w:ascii="Times New Roman" w:hAnsi="Times New Roman"/>
          <w:caps w:val="false"/>
          <w:smallCaps w:val="false"/>
          <w:sz w:val="20"/>
        </w:rPr>
        <w:t>, then before the Company delivers the Placement Shares or the Agent sells any Placement Shares, the Company shall provide the Agent with a certificate in conformity with this </w:t>
      </w:r>
      <w:r>
        <w:rPr>
          <w:rFonts w:ascii="Times New Roman" w:hAnsi="Times New Roman"/>
          <w:caps w:val="false"/>
          <w:smallCaps w:val="false"/>
          <w:sz w:val="20"/>
          <w:u w:val="single"/>
        </w:rPr>
        <w:t>Section 7(l)</w:t>
      </w:r>
      <w:r>
        <w:rPr>
          <w:rFonts w:ascii="Times New Roman" w:hAnsi="Times New Roman"/>
          <w:caps w:val="false"/>
          <w:smallCaps w:val="false"/>
          <w:sz w:val="20"/>
        </w:rPr>
        <w:t> dated the date of the Placement Notice.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w:t>
            </w:r>
          </w:p>
        </w:tc>
        <w:tc>
          <w:tcPr>
            <w:tcW w:w="9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Legal Opinion</w:t>
            </w:r>
            <w:r>
              <w:rPr>
                <w:rFonts w:ascii="Times New Roman" w:hAnsi="Times New Roman"/>
                <w:caps w:val="false"/>
                <w:smallCaps w:val="false"/>
                <w:sz w:val="20"/>
              </w:rPr>
              <w:t>. (1) Prior to the date of the first Placement Notice and (2) within five (5) Trading Days of each Representation Date with respect to which the Company is obligated to deliver a certificate pursuant to </w:t>
            </w:r>
            <w:r>
              <w:rPr>
                <w:rFonts w:ascii="Times New Roman" w:hAnsi="Times New Roman"/>
                <w:caps w:val="false"/>
                <w:smallCaps w:val="false"/>
                <w:sz w:val="20"/>
                <w:u w:val="single"/>
              </w:rPr>
              <w:t>Section 7(l)</w:t>
            </w:r>
            <w:r>
              <w:rPr>
                <w:rFonts w:ascii="Times New Roman" w:hAnsi="Times New Roman"/>
                <w:caps w:val="false"/>
                <w:smallCaps w:val="false"/>
                <w:sz w:val="20"/>
              </w:rPr>
              <w:t> for which no waiver is applicable and excluding the date of this Agreement, the Company shall cause to be furnished to the Agent a written opinion and negative assurance letter of Jones Day (“</w:t>
            </w:r>
            <w:r>
              <w:rPr>
                <w:rFonts w:ascii="Times New Roman" w:hAnsi="Times New Roman"/>
                <w:b/>
                <w:caps w:val="false"/>
                <w:smallCaps w:val="false"/>
                <w:sz w:val="20"/>
                <w:u w:val="single"/>
              </w:rPr>
              <w:t>Company Counsel</w:t>
            </w:r>
            <w:r>
              <w:rPr>
                <w:rFonts w:ascii="Times New Roman" w:hAnsi="Times New Roman"/>
                <w:caps w:val="false"/>
                <w:smallCaps w:val="false"/>
                <w:sz w:val="20"/>
              </w:rPr>
              <w:t>”), or other counsel reasonably satisfactory to the Agent,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Times New Roman" w:hAnsi="Times New Roman"/>
                <w:i/>
                <w:caps w:val="false"/>
                <w:smallCaps w:val="false"/>
                <w:sz w:val="20"/>
              </w:rPr>
              <w:t>provided</w:t>
            </w:r>
            <w:r>
              <w:rPr>
                <w:rFonts w:ascii="Times New Roman" w:hAnsi="Times New Roman"/>
                <w:caps w:val="false"/>
                <w:smallCaps w:val="false"/>
                <w:sz w:val="20"/>
              </w:rPr>
              <w:t>, that in lieu of such opinions for subsequent periodic filings under the Exchange Act, counsel may furnish the Agent with a letter (a “</w:t>
            </w:r>
            <w:r>
              <w:rPr>
                <w:rFonts w:ascii="Times New Roman" w:hAnsi="Times New Roman"/>
                <w:b/>
                <w:caps w:val="false"/>
                <w:smallCaps w:val="false"/>
                <w:sz w:val="20"/>
                <w:u w:val="single"/>
              </w:rPr>
              <w:t>Reliance Letter</w:t>
            </w:r>
            <w:r>
              <w:rPr>
                <w:rFonts w:ascii="Times New Roman" w:hAnsi="Times New Roman"/>
                <w:caps w:val="false"/>
                <w:smallCaps w:val="false"/>
                <w:sz w:val="20"/>
              </w:rPr>
              <w:t>”) to the effect that the Agent may rely on a prior opinion delivered under this </w:t>
            </w:r>
            <w:r>
              <w:rPr>
                <w:rFonts w:ascii="Times New Roman" w:hAnsi="Times New Roman"/>
                <w:caps w:val="false"/>
                <w:smallCaps w:val="false"/>
                <w:sz w:val="20"/>
                <w:u w:val="single"/>
              </w:rPr>
              <w:t>Section 7(m)</w:t>
            </w:r>
            <w:r>
              <w:rPr>
                <w:rFonts w:ascii="Times New Roman" w:hAnsi="Times New Roman"/>
                <w:caps w:val="false"/>
                <w:smallCaps w:val="false"/>
                <w:sz w:val="20"/>
              </w:rPr>
              <w:t> to the same extent as if it were dated the date of such letter (except that statements in such prior opinion shall be deemed to relate to the Registration Statement and the Prospectus as amended or supplemented as of the date of the Reliance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Comfort Letter</w:t>
            </w:r>
            <w:r>
              <w:rPr>
                <w:rFonts w:ascii="Times New Roman" w:hAnsi="Times New Roman"/>
                <w:caps w:val="false"/>
                <w:smallCaps w:val="false"/>
                <w:sz w:val="20"/>
              </w:rPr>
              <w:t>. (1) Prior to the date of the first Placement Notice and (2) within five (5) Trading Days of each Representation Date with respect to which the Company is obligated to deliver a certificate pursuant to </w:t>
            </w:r>
            <w:r>
              <w:rPr>
                <w:rFonts w:ascii="Times New Roman" w:hAnsi="Times New Roman"/>
                <w:caps w:val="false"/>
                <w:smallCaps w:val="false"/>
                <w:sz w:val="20"/>
                <w:u w:val="single"/>
              </w:rPr>
              <w:t>Section 7(l)</w:t>
            </w:r>
            <w:r>
              <w:rPr>
                <w:rFonts w:ascii="Times New Roman" w:hAnsi="Times New Roman"/>
                <w:caps w:val="false"/>
                <w:smallCaps w:val="false"/>
                <w:sz w:val="20"/>
              </w:rPr>
              <w:t> for which no waiver is applicable and excluding the date of this Agreement, the Company shall cause its independent registered public accounting firm to furnish the Agent letters (the “</w:t>
            </w:r>
            <w:r>
              <w:rPr>
                <w:rFonts w:ascii="Times New Roman" w:hAnsi="Times New Roman"/>
                <w:b/>
                <w:caps w:val="false"/>
                <w:smallCaps w:val="false"/>
                <w:sz w:val="20"/>
                <w:u w:val="single"/>
              </w:rPr>
              <w:t>Comfort Letters</w:t>
            </w:r>
            <w:r>
              <w:rPr>
                <w:rFonts w:ascii="Times New Roman" w:hAnsi="Times New Roman"/>
                <w:caps w:val="false"/>
                <w:smallCaps w:val="false"/>
                <w:sz w:val="20"/>
              </w:rPr>
              <w:t>”), dated the date the Comfort Letter is delivered, which shall meet the requirements set forth in this </w:t>
            </w:r>
            <w:r>
              <w:rPr>
                <w:rFonts w:ascii="Times New Roman" w:hAnsi="Times New Roman"/>
                <w:caps w:val="false"/>
                <w:smallCaps w:val="false"/>
                <w:sz w:val="20"/>
                <w:u w:val="single"/>
              </w:rPr>
              <w:t>Section 7(n)</w:t>
            </w:r>
            <w:r>
              <w:rPr>
                <w:rFonts w:ascii="Times New Roman" w:hAnsi="Times New Roman"/>
                <w:caps w:val="false"/>
                <w:smallCaps w:val="false"/>
                <w:sz w:val="20"/>
              </w:rPr>
              <w:t>; </w:t>
            </w:r>
            <w:r>
              <w:rPr>
                <w:rFonts w:ascii="Times New Roman" w:hAnsi="Times New Roman"/>
                <w:i/>
                <w:caps w:val="false"/>
                <w:smallCaps w:val="false"/>
                <w:sz w:val="20"/>
              </w:rPr>
              <w:t>provided</w:t>
            </w:r>
            <w:r>
              <w:rPr>
                <w:rFonts w:ascii="Times New Roman" w:hAnsi="Times New Roman"/>
                <w:caps w:val="false"/>
                <w:smallCaps w:val="false"/>
                <w:sz w:val="20"/>
              </w:rPr>
              <w:t>, that if requested by the Agent, the Company shall cause a Comfort Letter to be furnished to the Agent within ten (10) Trading Days of the date of occurrence of any material transaction or event requiring the filing of a Current Report on Form 8-K containing financial information (including the restatement of the Company’s financial statements). The Comfort Letter from the Company’s independent registered public accounting firm shall be in a form and substance reasonably satisfactory to the Agent, (i) confirming that they are an independent registered public accounting firm within the meaning of the Securities Act and the Public Company Accounting Oversight Board (“</w:t>
            </w:r>
            <w:r>
              <w:rPr>
                <w:rFonts w:ascii="Times New Roman" w:hAnsi="Times New Roman"/>
                <w:b/>
                <w:caps w:val="false"/>
                <w:smallCaps w:val="false"/>
                <w:sz w:val="20"/>
                <w:u w:val="single"/>
              </w:rPr>
              <w:t>PCAOB</w:t>
            </w:r>
            <w:r>
              <w:rPr>
                <w:rFonts w:ascii="Times New Roman" w:hAnsi="Times New Roman"/>
                <w:caps w:val="false"/>
                <w:smallCaps w:val="false"/>
                <w:sz w:val="20"/>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hAnsi="Times New Roman"/>
                <w:b/>
                <w:caps w:val="false"/>
                <w:smallCaps w:val="false"/>
                <w:sz w:val="20"/>
                <w:u w:val="single"/>
              </w:rPr>
              <w:t>Initial Comfort Letter</w:t>
            </w:r>
            <w:r>
              <w:rPr>
                <w:rFonts w:ascii="Times New Roman" w:hAnsi="Times New Roman"/>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Market Activities</w:t>
            </w:r>
            <w:r>
              <w:rPr>
                <w:rFonts w:ascii="Times New Roman" w:hAnsi="Times New Roman"/>
                <w:caps w:val="false"/>
                <w:smallCaps w:val="false"/>
                <w:sz w:val="20"/>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Investment Company Act</w:t>
            </w:r>
            <w:r>
              <w:rPr>
                <w:rFonts w:ascii="Times New Roman" w:hAnsi="Times New Roman"/>
                <w:caps w:val="false"/>
                <w:smallCaps w:val="false"/>
                <w:sz w:val="20"/>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Offer to Sell</w:t>
            </w:r>
            <w:r>
              <w:rPr>
                <w:rFonts w:ascii="Times New Roman" w:hAnsi="Times New Roman"/>
                <w:caps w:val="false"/>
                <w:smallCaps w:val="false"/>
                <w:sz w:val="20"/>
              </w:rPr>
              <w:t>.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w:t>
            </w:r>
          </w:p>
        </w:tc>
        <w:tc>
          <w:tcPr>
            <w:tcW w:w="100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Blue Sky and Other Qualifications</w:t>
            </w:r>
            <w:r>
              <w:rPr>
                <w:rFonts w:ascii="Times New Roman" w:hAnsi="Times New Roman"/>
                <w:i/>
                <w:caps w:val="false"/>
                <w:smallCaps w:val="false"/>
                <w:sz w:val="20"/>
              </w:rPr>
              <w:t>.</w:t>
            </w:r>
            <w:r>
              <w:rPr>
                <w:rFonts w:ascii="Times New Roman" w:hAnsi="Times New Roman"/>
                <w:caps w:val="false"/>
                <w:smallCaps w:val="false"/>
                <w:sz w:val="20"/>
              </w:rPr>
              <w:t>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reasonably designate and to maintain such qualifications and exemptions in effect for so long as reasonably required for the distribution of the Placement Shares;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reasonably required for the distribution of the Placement Shares.</w:t>
            </w:r>
          </w:p>
        </w:tc>
      </w:tr>
      <w:tr>
        <w:trPr/>
        <w:tc>
          <w:tcPr>
            <w:tcW w:w="157" w:type="dxa"/>
            <w:tcBorders/>
            <w:vAlign w:val="center"/>
          </w:tcPr>
          <w:p>
            <w:pPr>
              <w:pStyle w:val="TableContents"/>
              <w:bidi w:val="0"/>
              <w:spacing w:before="0" w:after="283"/>
              <w:jc w:val="left"/>
              <w:rPr/>
            </w:pPr>
            <w:r>
              <w:rPr/>
              <w:t> </w:t>
            </w:r>
          </w:p>
        </w:tc>
        <w:tc>
          <w:tcPr>
            <w:tcW w:w="10048" w:type="dxa"/>
            <w:tcBorders/>
            <w:vAlign w:val="center"/>
          </w:tcPr>
          <w:p>
            <w:pPr>
              <w:pStyle w:val="TableContents"/>
              <w:bidi w:val="0"/>
              <w:spacing w:before="0" w:after="283"/>
              <w:jc w:val="left"/>
              <w:rPr/>
            </w:pPr>
            <w:r>
              <w:rPr/>
              <w:t> </w:t>
            </w:r>
          </w:p>
        </w:tc>
      </w:tr>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100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Sarbanes-Oxley Act</w:t>
            </w:r>
            <w:r>
              <w:rPr>
                <w:rFonts w:ascii="Times New Roman" w:hAnsi="Times New Roman"/>
                <w:caps w:val="false"/>
                <w:smallCaps w:val="false"/>
                <w:sz w:val="20"/>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tc>
      </w:tr>
      <w:tr>
        <w:trPr/>
        <w:tc>
          <w:tcPr>
            <w:tcW w:w="157" w:type="dxa"/>
            <w:tcBorders/>
            <w:vAlign w:val="center"/>
          </w:tcPr>
          <w:p>
            <w:pPr>
              <w:pStyle w:val="TableContents"/>
              <w:bidi w:val="0"/>
              <w:spacing w:before="0" w:after="283"/>
              <w:jc w:val="left"/>
              <w:rPr/>
            </w:pPr>
            <w:r>
              <w:rPr/>
              <w:t> </w:t>
            </w:r>
          </w:p>
        </w:tc>
        <w:tc>
          <w:tcPr>
            <w:tcW w:w="10048" w:type="dxa"/>
            <w:tcBorders/>
            <w:vAlign w:val="center"/>
          </w:tcPr>
          <w:p>
            <w:pPr>
              <w:pStyle w:val="TableContents"/>
              <w:bidi w:val="0"/>
              <w:spacing w:before="0" w:after="283"/>
              <w:jc w:val="left"/>
              <w:rPr/>
            </w:pPr>
            <w:r>
              <w:rPr/>
              <w:t> </w:t>
            </w:r>
          </w:p>
        </w:tc>
      </w:tr>
      <w:tr>
        <w:trPr/>
        <w:tc>
          <w:tcPr>
            <w:tcW w:w="1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t>
            </w:r>
          </w:p>
        </w:tc>
        <w:tc>
          <w:tcPr>
            <w:tcW w:w="100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Secretary’s Certificate; Further Documentation. Prior to the date of the first Placement Notice, the Company shall deliver to the Agent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the earlier of (i) each Representation Date with respect to which the Company is obligated to deliver a certificate pursuant to Section 7(l) for which no waiver is applicable or (ii) the date such request from the Agents is received by the Company, the Company shall have furnished to the Agent such further information, certificates and documents as the Agent may reasonably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100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Payment of Expenses</w:t>
            </w:r>
            <w:r>
              <w:rPr>
                <w:rFonts w:ascii="Times New Roman" w:hAnsi="Times New Roman"/>
                <w:caps w:val="false"/>
                <w:smallCaps w:val="false"/>
                <w:sz w:val="20"/>
              </w:rPr>
              <w:t>.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 shall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reasonable and documented fees and disbursements of the counsel, accountants and other advisors to the Company, (v) the fees and expenses of Agent including but not limited to the fees and expenses of the counsel to the Agent, payable upon the execution of this Agreement, (a) in an amount not to exceed $125,000 in connection with the execution of this Agreement, (b) in an amount not to exceed $25,000 per calendar quarter thereafter payable in connection with each Representation Date with respect to which the Company is obligated to deliver a certificate pursuant to </w:t>
            </w:r>
            <w:r>
              <w:rPr>
                <w:rFonts w:ascii="Times New Roman" w:hAnsi="Times New Roman"/>
                <w:caps w:val="false"/>
                <w:smallCaps w:val="false"/>
                <w:sz w:val="20"/>
                <w:u w:val="single"/>
              </w:rPr>
              <w:t>Section 7(l)</w:t>
            </w:r>
            <w:r>
              <w:rPr>
                <w:rFonts w:ascii="Times New Roman" w:hAnsi="Times New Roman"/>
                <w:caps w:val="false"/>
                <w:smallCaps w:val="false"/>
                <w:sz w:val="20"/>
              </w:rPr>
              <w:t> for which no waiver is applicable and excluding the date of this Agreement, and (c) in an amount not to exceed $40,000 for 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 w:hAnsi="Times New Roman"/>
                <w:caps w:val="false"/>
                <w:smallCaps w:val="false"/>
                <w:sz w:val="20"/>
                <w:u w:val="single"/>
              </w:rPr>
              <w:t>Section 7(r)</w:t>
            </w:r>
            <w:r>
              <w:rPr>
                <w:rFonts w:ascii="Times New Roman" w:hAnsi="Times New Roman"/>
                <w:caps w:val="false"/>
                <w:smallCaps w:val="false"/>
                <w:sz w:val="20"/>
              </w:rPr>
              <w:t> hereof, including filing fees, but excluding fees of the Agent’s counsel, (vii) the printing and delivery to the Agent of copies of any Permitted Issuer Free Writing Prospectus and the Prospectus and any amendments or supplements thereto in such number as the Agent shall deem necessary, (viii) the preparation, printing and delivery to the Agent of copies of the blue sky survey, (ix) the fees and expenses of the transfer agent and registrar for the Common Stock, (x) the filing and other fees incident to any review by FINRA of the terms of the sale of the Placement Shares including the reasonable and documented fees of the Agent’s counsel (subject to the cap, set forth in clause (v) above), and (xi) the fees and expenses incurred in connection with the listing of the Placement Shares on the Exchange. The Company agrees to pay the reasonable and documented fees and expenses of counsel to the Agent set forth in clause (v) above by wire transfer of immediately available funds directly to such counsel upon presentation of an invoice containing the requisite payment information prepared by such counsel.</w:t>
            </w:r>
          </w:p>
        </w:tc>
      </w:tr>
      <w:tr>
        <w:trPr/>
        <w:tc>
          <w:tcPr>
            <w:tcW w:w="172" w:type="dxa"/>
            <w:tcBorders/>
            <w:vAlign w:val="center"/>
          </w:tcPr>
          <w:p>
            <w:pPr>
              <w:pStyle w:val="TableContents"/>
              <w:bidi w:val="0"/>
              <w:spacing w:before="0" w:after="283"/>
              <w:jc w:val="left"/>
              <w:rPr/>
            </w:pPr>
            <w:r>
              <w:rPr/>
              <w:t> </w:t>
            </w:r>
          </w:p>
        </w:tc>
        <w:tc>
          <w:tcPr>
            <w:tcW w:w="10033" w:type="dxa"/>
            <w:tcBorders/>
            <w:vAlign w:val="center"/>
          </w:tcPr>
          <w:p>
            <w:pPr>
              <w:pStyle w:val="TableContents"/>
              <w:bidi w:val="0"/>
              <w:spacing w:before="0" w:after="283"/>
              <w:jc w:val="left"/>
              <w:rPr/>
            </w:pPr>
            <w:r>
              <w:rPr/>
              <w:t> </w:t>
            </w:r>
          </w:p>
        </w:tc>
      </w:tr>
      <w:tr>
        <w:trPr/>
        <w:tc>
          <w:tcPr>
            <w:tcW w:w="17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100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Conditions to Agent’s Obligations</w:t>
            </w:r>
            <w:r>
              <w:rPr>
                <w:rFonts w:ascii="Times New Roman" w:hAnsi="Times New Roman"/>
                <w:caps w:val="false"/>
                <w:smallCaps w:val="false"/>
                <w:sz w:val="20"/>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tc>
      </w:tr>
      <w:tr>
        <w:trPr/>
        <w:tc>
          <w:tcPr>
            <w:tcW w:w="172" w:type="dxa"/>
            <w:tcBorders/>
            <w:vAlign w:val="center"/>
          </w:tcPr>
          <w:p>
            <w:pPr>
              <w:pStyle w:val="TableContents"/>
              <w:bidi w:val="0"/>
              <w:spacing w:before="0" w:after="283"/>
              <w:jc w:val="left"/>
              <w:rPr/>
            </w:pPr>
            <w:r>
              <w:rPr/>
              <w:t> </w:t>
            </w:r>
          </w:p>
        </w:tc>
        <w:tc>
          <w:tcPr>
            <w:tcW w:w="10033" w:type="dxa"/>
            <w:tcBorders/>
            <w:vAlign w:val="center"/>
          </w:tcPr>
          <w:p>
            <w:pPr>
              <w:pStyle w:val="TableContents"/>
              <w:bidi w:val="0"/>
              <w:spacing w:before="0" w:after="283"/>
              <w:jc w:val="left"/>
              <w:rPr/>
            </w:pPr>
            <w:r>
              <w:rPr/>
              <w:t> </w:t>
            </w:r>
          </w:p>
        </w:tc>
      </w:tr>
      <w:tr>
        <w:trPr/>
        <w:tc>
          <w:tcPr>
            <w:tcW w:w="17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Registration Statement Effective</w:t>
            </w:r>
            <w:r>
              <w:rPr>
                <w:rFonts w:ascii="Times New Roman" w:hAnsi="Times New Roman"/>
                <w:caps w:val="false"/>
                <w:smallCaps w:val="false"/>
                <w:sz w:val="20"/>
              </w:rPr>
              <w:t>. The Registration Statement shall have become effective and shall be available for the (i) resale of all Placement Shares issued to the Agent and not yet sold by the Agent and (ii) sale of all Placement Shares contemplated to be issued by any Placement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Material Notices</w:t>
            </w:r>
            <w:r>
              <w:rPr>
                <w:rFonts w:ascii="Times New Roman" w:hAnsi="Times New Roman"/>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in any material respect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Misstatement or Material Omission</w:t>
            </w:r>
            <w:r>
              <w:rPr>
                <w:rFonts w:ascii="Times New Roman" w:hAnsi="Times New Roman"/>
                <w:caps w:val="false"/>
                <w:smallCaps w:val="false"/>
                <w:sz w:val="20"/>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Material Changes</w:t>
            </w:r>
            <w:r>
              <w:rPr>
                <w:rFonts w:ascii="Times New Roman" w:hAnsi="Times New Roman"/>
                <w:caps w:val="false"/>
                <w:smallCaps w:val="false"/>
                <w:sz w:val="20"/>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tc>
      </w:tr>
      <w:tr>
        <w:trPr/>
        <w:tc>
          <w:tcPr>
            <w:tcW w:w="188" w:type="dxa"/>
            <w:tcBorders/>
            <w:vAlign w:val="center"/>
          </w:tcPr>
          <w:p>
            <w:pPr>
              <w:pStyle w:val="TableContents"/>
              <w:bidi w:val="0"/>
              <w:spacing w:before="0" w:after="283"/>
              <w:jc w:val="left"/>
              <w:rPr/>
            </w:pPr>
            <w:r>
              <w:rPr/>
              <w:t> </w:t>
            </w:r>
          </w:p>
        </w:tc>
        <w:tc>
          <w:tcPr>
            <w:tcW w:w="10017" w:type="dxa"/>
            <w:tcBorders/>
            <w:vAlign w:val="center"/>
          </w:tcPr>
          <w:p>
            <w:pPr>
              <w:pStyle w:val="TableContents"/>
              <w:bidi w:val="0"/>
              <w:spacing w:before="0" w:after="283"/>
              <w:jc w:val="left"/>
              <w:rPr/>
            </w:pPr>
            <w:r>
              <w:rPr/>
              <w:t> </w:t>
            </w:r>
          </w:p>
        </w:tc>
      </w:tr>
      <w:tr>
        <w:trPr/>
        <w:tc>
          <w:tcPr>
            <w:tcW w:w="1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Legal Opinions</w:t>
            </w:r>
            <w:r>
              <w:rPr>
                <w:rFonts w:ascii="Times New Roman" w:hAnsi="Times New Roman"/>
                <w:caps w:val="false"/>
                <w:smallCaps w:val="false"/>
                <w:sz w:val="20"/>
              </w:rPr>
              <w:t>. The Agent shall have received the opinions and negative assurance letters required to be delivered pursuant to </w:t>
            </w:r>
            <w:r>
              <w:rPr>
                <w:rFonts w:ascii="Times New Roman" w:hAnsi="Times New Roman"/>
                <w:caps w:val="false"/>
                <w:smallCaps w:val="false"/>
                <w:sz w:val="20"/>
                <w:u w:val="single"/>
              </w:rPr>
              <w:t>Section 7(m)</w:t>
            </w:r>
            <w:r>
              <w:rPr>
                <w:rFonts w:ascii="Times New Roman" w:hAnsi="Times New Roman"/>
                <w:caps w:val="false"/>
                <w:smallCaps w:val="false"/>
                <w:sz w:val="20"/>
              </w:rPr>
              <w:t> on or before the date on which such delivery of such opinions is required pursuant to </w:t>
            </w:r>
            <w:r>
              <w:rPr>
                <w:rFonts w:ascii="Times New Roman" w:hAnsi="Times New Roman"/>
                <w:caps w:val="false"/>
                <w:smallCaps w:val="false"/>
                <w:sz w:val="20"/>
                <w:u w:val="single"/>
              </w:rPr>
              <w:t>Section 7(m)</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Comfort Letter</w:t>
            </w:r>
            <w:r>
              <w:rPr>
                <w:rFonts w:ascii="Times New Roman" w:hAnsi="Times New Roman"/>
                <w:caps w:val="false"/>
                <w:smallCaps w:val="false"/>
                <w:sz w:val="20"/>
              </w:rPr>
              <w:t>. The Agent shall have received the Comfort Letter required to be delivered pursuant to </w:t>
            </w:r>
            <w:r>
              <w:rPr>
                <w:rFonts w:ascii="Times New Roman" w:hAnsi="Times New Roman"/>
                <w:caps w:val="false"/>
                <w:smallCaps w:val="false"/>
                <w:sz w:val="20"/>
                <w:u w:val="single"/>
              </w:rPr>
              <w:t>Section 7(n)</w:t>
            </w:r>
            <w:r>
              <w:rPr>
                <w:rFonts w:ascii="Times New Roman" w:hAnsi="Times New Roman"/>
                <w:caps w:val="false"/>
                <w:smallCaps w:val="false"/>
                <w:sz w:val="20"/>
              </w:rPr>
              <w:t> on or before the date on which such delivery of such Comfort Letter is required pursuant to </w:t>
            </w:r>
            <w:r>
              <w:rPr>
                <w:rFonts w:ascii="Times New Roman" w:hAnsi="Times New Roman"/>
                <w:caps w:val="false"/>
                <w:smallCaps w:val="false"/>
                <w:sz w:val="20"/>
                <w:u w:val="single"/>
              </w:rPr>
              <w:t>Section 7(n)</w:t>
            </w:r>
            <w:r>
              <w:rPr>
                <w:rFonts w:ascii="Times New Roman" w:hAnsi="Times New Roman"/>
                <w:caps w:val="false"/>
                <w:smallCaps w:val="false"/>
                <w:sz w:val="20"/>
              </w:rPr>
              <w:t>.</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left"/>
              <w:rPr/>
            </w:pPr>
            <w:r>
              <w:rPr/>
              <w:t> </w:t>
            </w:r>
          </w:p>
        </w:tc>
      </w:tr>
      <w:tr>
        <w:trPr/>
        <w:tc>
          <w:tcPr>
            <w:tcW w:w="2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Representation Certificate</w:t>
            </w:r>
            <w:r>
              <w:rPr>
                <w:rFonts w:ascii="Times New Roman" w:hAnsi="Times New Roman"/>
                <w:caps w:val="false"/>
                <w:smallCaps w:val="false"/>
                <w:sz w:val="20"/>
              </w:rPr>
              <w:t>. The Agent shall have received the certificate required to be delivered pursuant to </w:t>
            </w:r>
            <w:r>
              <w:rPr>
                <w:rFonts w:ascii="Times New Roman" w:hAnsi="Times New Roman"/>
                <w:caps w:val="false"/>
                <w:smallCaps w:val="false"/>
                <w:sz w:val="20"/>
                <w:u w:val="single"/>
              </w:rPr>
              <w:t>Section 7(l)</w:t>
            </w:r>
            <w:r>
              <w:rPr>
                <w:rFonts w:ascii="Times New Roman" w:hAnsi="Times New Roman"/>
                <w:caps w:val="false"/>
                <w:smallCaps w:val="false"/>
                <w:sz w:val="20"/>
              </w:rPr>
              <w:t> on or before the date on which delivery of such certificate is required pursuant to </w:t>
            </w:r>
            <w:r>
              <w:rPr>
                <w:rFonts w:ascii="Times New Roman" w:hAnsi="Times New Roman"/>
                <w:caps w:val="false"/>
                <w:smallCaps w:val="false"/>
                <w:sz w:val="20"/>
                <w:u w:val="single"/>
              </w:rPr>
              <w:t>Section 7(l)</w:t>
            </w:r>
            <w:r>
              <w:rPr>
                <w:rFonts w:ascii="Times New Roman" w:hAnsi="Times New Roman"/>
                <w:caps w:val="false"/>
                <w:smallCaps w:val="false"/>
                <w:sz w:val="20"/>
              </w:rPr>
              <w:t>.</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left"/>
              <w:rPr/>
            </w:pPr>
            <w:r>
              <w:rPr/>
              <w:t> </w:t>
            </w:r>
          </w:p>
        </w:tc>
      </w:tr>
      <w:tr>
        <w:trPr/>
        <w:tc>
          <w:tcPr>
            <w:tcW w:w="2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Suspension</w:t>
            </w:r>
            <w:r>
              <w:rPr>
                <w:rFonts w:ascii="Times New Roman" w:hAnsi="Times New Roman"/>
                <w:caps w:val="false"/>
                <w:smallCaps w:val="false"/>
                <w:sz w:val="20"/>
              </w:rPr>
              <w:t>. Trading in the Common Stock shall not have been suspended on the Exchange and the Common Stock shall not have been delisted from the Exchange.</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left"/>
              <w:rPr/>
            </w:pPr>
            <w:r>
              <w:rPr/>
              <w:t> </w:t>
            </w:r>
          </w:p>
        </w:tc>
      </w:tr>
      <w:tr>
        <w:trPr/>
        <w:tc>
          <w:tcPr>
            <w:tcW w:w="2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Other Materials</w:t>
            </w:r>
            <w:r>
              <w:rPr>
                <w:rFonts w:ascii="Times New Roman" w:hAnsi="Times New Roman"/>
                <w:caps w:val="false"/>
                <w:smallCaps w:val="false"/>
                <w:sz w:val="20"/>
              </w:rPr>
              <w:t>. On each date on which the Company is required to deliver a certificate pursuant to </w:t>
            </w:r>
            <w:r>
              <w:rPr>
                <w:rFonts w:ascii="Times New Roman" w:hAnsi="Times New Roman"/>
                <w:caps w:val="false"/>
                <w:smallCaps w:val="false"/>
                <w:sz w:val="20"/>
                <w:u w:val="single"/>
              </w:rPr>
              <w:t>Section 7(l)</w:t>
            </w:r>
            <w:r>
              <w:rPr>
                <w:rFonts w:ascii="Times New Roman" w:hAnsi="Times New Roman"/>
                <w:caps w:val="false"/>
                <w:smallCaps w:val="false"/>
                <w:sz w:val="20"/>
              </w:rPr>
              <w:t>, the Company shall have furnished to the Agent such appropriate further information, opinions, certificates, letters and other documents as the Agent may reasonably request. All such opinions, certificates, letters and other documents will be in compliance with the provisions hereof.</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left"/>
              <w:rPr/>
            </w:pPr>
            <w:r>
              <w:rPr/>
              <w:t> </w:t>
            </w:r>
          </w:p>
        </w:tc>
      </w:tr>
      <w:tr>
        <w:trPr/>
        <w:tc>
          <w:tcPr>
            <w:tcW w:w="2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Securities Act Filings Made</w:t>
            </w:r>
            <w:r>
              <w:rPr>
                <w:rFonts w:ascii="Times New Roman" w:hAnsi="Times New Roman"/>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left"/>
              <w:rPr/>
            </w:pPr>
            <w:r>
              <w:rPr/>
              <w:t> </w:t>
            </w:r>
          </w:p>
        </w:tc>
      </w:tr>
      <w:tr>
        <w:trPr/>
        <w:tc>
          <w:tcPr>
            <w:tcW w:w="2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Approval for Listing</w:t>
            </w:r>
            <w:r>
              <w:rPr>
                <w:rFonts w:ascii="Times New Roman" w:hAnsi="Times New Roman"/>
                <w:caps w:val="false"/>
                <w:smallCaps w:val="false"/>
                <w:sz w:val="20"/>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left"/>
              <w:rPr/>
            </w:pPr>
            <w:r>
              <w:rPr/>
              <w:t> </w:t>
            </w:r>
          </w:p>
        </w:tc>
      </w:tr>
      <w:tr>
        <w:trPr/>
        <w:tc>
          <w:tcPr>
            <w:tcW w:w="2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FINRA</w:t>
            </w:r>
            <w:r>
              <w:rPr>
                <w:rFonts w:ascii="Times New Roman" w:hAnsi="Times New Roman"/>
                <w:caps w:val="false"/>
                <w:smallCaps w:val="false"/>
                <w:sz w:val="20"/>
              </w:rPr>
              <w:t>. If applicable, FINRA shall have raised no objection to the terms of this offering and the amount of compensation allowable or payable to the Agent as described in the Prospectus.</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left"/>
              <w:rPr/>
            </w:pPr>
            <w:r>
              <w:rPr/>
              <w:t> </w:t>
            </w:r>
          </w:p>
        </w:tc>
      </w:tr>
      <w:tr>
        <w:trPr/>
        <w:tc>
          <w:tcPr>
            <w:tcW w:w="2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Termination Event</w:t>
            </w:r>
            <w:r>
              <w:rPr>
                <w:rFonts w:ascii="Times New Roman" w:hAnsi="Times New Roman"/>
                <w:caps w:val="false"/>
                <w:smallCaps w:val="false"/>
                <w:sz w:val="20"/>
              </w:rPr>
              <w:t>. There shall not have occurred any event that would permit the Agent to terminate this Agreement pursuant to </w:t>
            </w:r>
            <w:r>
              <w:rPr>
                <w:rFonts w:ascii="Times New Roman" w:hAnsi="Times New Roman"/>
                <w:caps w:val="false"/>
                <w:smallCaps w:val="false"/>
                <w:sz w:val="20"/>
                <w:u w:val="single"/>
              </w:rPr>
              <w:t>Section 12(a)</w:t>
            </w:r>
            <w:r>
              <w:rPr>
                <w:rFonts w:ascii="Times New Roman" w:hAnsi="Times New Roman"/>
                <w:caps w:val="false"/>
                <w:smallCaps w:val="false"/>
                <w:sz w:val="20"/>
              </w:rPr>
              <w:t>.</w:t>
            </w:r>
          </w:p>
        </w:tc>
      </w:tr>
      <w:tr>
        <w:trPr/>
        <w:tc>
          <w:tcPr>
            <w:tcW w:w="246" w:type="dxa"/>
            <w:tcBorders/>
            <w:vAlign w:val="center"/>
          </w:tcPr>
          <w:p>
            <w:pPr>
              <w:pStyle w:val="TableContents"/>
              <w:bidi w:val="0"/>
              <w:spacing w:before="0" w:after="283"/>
              <w:jc w:val="left"/>
              <w:rPr/>
            </w:pPr>
            <w:r>
              <w:rPr/>
              <w:t> </w:t>
            </w:r>
          </w:p>
        </w:tc>
        <w:tc>
          <w:tcPr>
            <w:tcW w:w="9959" w:type="dxa"/>
            <w:tcBorders/>
            <w:vAlign w:val="center"/>
          </w:tcPr>
          <w:p>
            <w:pPr>
              <w:pStyle w:val="TableContents"/>
              <w:bidi w:val="0"/>
              <w:spacing w:before="0" w:after="283"/>
              <w:jc w:val="left"/>
              <w:rPr/>
            </w:pPr>
            <w:r>
              <w:rPr/>
              <w:t> </w:t>
            </w:r>
          </w:p>
        </w:tc>
      </w:tr>
      <w:tr>
        <w:trPr/>
        <w:tc>
          <w:tcPr>
            <w:tcW w:w="2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Indemnification and Contribution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Company Indemnification</w:t>
      </w:r>
      <w:r>
        <w:rPr>
          <w:rFonts w:ascii="Times New Roman" w:hAnsi="Times New Roman"/>
          <w:caps w:val="false"/>
          <w:smallCaps w:val="false"/>
          <w:sz w:val="20"/>
        </w:rPr>
        <w:t>. The Company agrees to indemnify and hold harmless the Agent, its affiliates and their respective partners, members, directors, officers, employees and agents and each person, if any, who controls the Agent or any affiliate within the meaning of Section 15 of the Securities Act or Section 20 of the Exchange Act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160"/>
        <w:jc w:val="both"/>
        <w:rPr>
          <w:rFonts w:ascii="Times New Roman" w:hAnsi="Times New Roman"/>
          <w:caps w:val="false"/>
          <w:smallCaps w:val="false"/>
          <w:sz w:val="20"/>
        </w:rPr>
      </w:pPr>
      <w:r>
        <w:rPr>
          <w:rFonts w:ascii="Times New Roman" w:hAnsi="Times New Roman"/>
          <w:caps w:val="false"/>
          <w:smallCaps w:val="false"/>
          <w:sz w:val="20"/>
        </w:rPr>
        <w:t>(i) against any and all loss, liability, claim, damage and reasonable and documented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firstLine="2160"/>
        <w:jc w:val="both"/>
        <w:rPr>
          <w:rFonts w:ascii="Times New Roman" w:hAnsi="Times New Roman"/>
          <w:caps w:val="false"/>
          <w:smallCaps w:val="false"/>
          <w:sz w:val="20"/>
        </w:rPr>
      </w:pPr>
      <w:r>
        <w:rPr>
          <w:rFonts w:ascii="Times New Roman" w:hAnsi="Times New Roman"/>
          <w:caps w:val="false"/>
          <w:smallCaps w:val="false"/>
          <w:sz w:val="20"/>
        </w:rPr>
        <w:t>(ii) against any and all loss, liability, claim, damage and reasonable and documented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hAnsi="Times New Roman"/>
          <w:i/>
          <w:caps w:val="false"/>
          <w:smallCaps w:val="false"/>
          <w:sz w:val="20"/>
        </w:rPr>
        <w:t>provided</w:t>
      </w:r>
      <w:r>
        <w:rPr>
          <w:rFonts w:ascii="Times New Roman" w:hAnsi="Times New Roman"/>
          <w:caps w:val="false"/>
          <w:smallCaps w:val="false"/>
          <w:sz w:val="20"/>
        </w:rPr>
        <w:t> that (subject to </w:t>
      </w:r>
      <w:r>
        <w:rPr>
          <w:rFonts w:ascii="Times New Roman" w:hAnsi="Times New Roman"/>
          <w:caps w:val="false"/>
          <w:smallCaps w:val="false"/>
          <w:sz w:val="20"/>
          <w:u w:val="single"/>
        </w:rPr>
        <w:t>Section 10(d)</w:t>
      </w:r>
      <w:r>
        <w:rPr>
          <w:rFonts w:ascii="Times New Roman" w:hAnsi="Times New Roman"/>
          <w:caps w:val="false"/>
          <w:smallCaps w:val="false"/>
          <w:sz w:val="20"/>
        </w:rPr>
        <w:t> below) any such settlement is effected with the written consent of the Company, which consent shall not unreasonably be delayed or withheld;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160"/>
        <w:jc w:val="both"/>
        <w:rPr>
          <w:rFonts w:ascii="Times New Roman" w:hAnsi="Times New Roman"/>
          <w:caps w:val="false"/>
          <w:smallCaps w:val="false"/>
          <w:sz w:val="20"/>
        </w:rPr>
      </w:pPr>
      <w:r>
        <w:rPr>
          <w:rFonts w:ascii="Times New Roman" w:hAnsi="Times New Roman"/>
          <w:caps w:val="false"/>
          <w:smallCaps w:val="false"/>
          <w:sz w:val="20"/>
        </w:rPr>
        <w:t>(iii) against any and all reasonable and documented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this indemnity agreement shall not apply to any loss, liability, claim, damage or expense to the extent arising out of any untrue statement or omission or alleged untrue statement or omission made solely in reliance upon and in conformity with the Agent Information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Agent Indemnification</w:t>
      </w:r>
      <w:r>
        <w:rPr>
          <w:rFonts w:ascii="Times New Roman" w:hAnsi="Times New Roman"/>
          <w:caps w:val="false"/>
          <w:smallCaps w:val="false"/>
          <w:sz w:val="20"/>
        </w:rPr>
        <w:t>.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hAnsi="Times New Roman"/>
          <w:caps w:val="false"/>
          <w:smallCaps w:val="false"/>
          <w:sz w:val="20"/>
          <w:u w:val="single"/>
        </w:rPr>
        <w:t>Section 10(a)</w:t>
      </w:r>
      <w:r>
        <w:rPr>
          <w:rFonts w:ascii="Times New Roman" w:hAnsi="Times New Roman"/>
          <w:caps w:val="false"/>
          <w:smallCaps w:val="false"/>
          <w:sz w:val="20"/>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any Prospectus Supplement or any Issuer Free Writing Prospectus (or any amendment or supplement thereto) are the statements set forth in the seventh and eighth paragraphs under the caption “Plan of Distribution” in the Prospectus Supplement (the “</w:t>
      </w:r>
      <w:r>
        <w:rPr>
          <w:rFonts w:ascii="Times New Roman" w:hAnsi="Times New Roman"/>
          <w:b/>
          <w:caps w:val="false"/>
          <w:smallCaps w:val="false"/>
          <w:sz w:val="20"/>
          <w:u w:val="single"/>
        </w:rPr>
        <w:t>Agent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Procedure</w:t>
      </w:r>
      <w:r>
        <w:rPr>
          <w:rFonts w:ascii="Times New Roman" w:hAnsi="Times New Roman"/>
          <w:caps w:val="false"/>
          <w:smallCaps w:val="false"/>
          <w:sz w:val="20"/>
        </w:rPr>
        <w:t>. Any party that proposes to assert the right to be indemnified under this </w:t>
      </w:r>
      <w:r>
        <w:rPr>
          <w:rFonts w:ascii="Times New Roman" w:hAnsi="Times New Roman"/>
          <w:caps w:val="false"/>
          <w:smallCaps w:val="false"/>
          <w:sz w:val="20"/>
          <w:u w:val="single"/>
        </w:rPr>
        <w:t>Section 10</w:t>
      </w:r>
      <w:r>
        <w:rPr>
          <w:rFonts w:ascii="Times New Roman" w:hAnsi="Times New Roman"/>
          <w:caps w:val="false"/>
          <w:smallCaps w:val="false"/>
          <w:sz w:val="20"/>
        </w:rPr>
        <w:t> will, promptly after receipt of notice of commencement of any action against such party in respect of which a claim is to be made against an indemnifying party or parties under this </w:t>
      </w:r>
      <w:r>
        <w:rPr>
          <w:rFonts w:ascii="Times New Roman" w:hAnsi="Times New Roman"/>
          <w:caps w:val="false"/>
          <w:smallCaps w:val="false"/>
          <w:sz w:val="20"/>
          <w:u w:val="single"/>
        </w:rPr>
        <w:t>Section 10</w:t>
      </w:r>
      <w:r>
        <w:rPr>
          <w:rFonts w:ascii="Times New Roman" w:hAnsi="Times New Roman"/>
          <w:caps w:val="false"/>
          <w:smallCaps w:val="false"/>
          <w:sz w:val="20"/>
        </w:rPr>
        <w:t>,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hAnsi="Times New Roman"/>
          <w:caps w:val="false"/>
          <w:smallCaps w:val="false"/>
          <w:sz w:val="20"/>
          <w:u w:val="single"/>
        </w:rPr>
        <w:t>Section 10</w:t>
      </w:r>
      <w:r>
        <w:rPr>
          <w:rFonts w:ascii="Times New Roman" w:hAnsi="Times New Roman"/>
          <w:caps w:val="false"/>
          <w:smallCaps w:val="false"/>
          <w:sz w:val="20"/>
        </w:rPr>
        <w:t> and (ii) any liability that it may have to any indemnified party under the foregoing provision of this </w:t>
      </w:r>
      <w:r>
        <w:rPr>
          <w:rFonts w:ascii="Times New Roman" w:hAnsi="Times New Roman"/>
          <w:caps w:val="false"/>
          <w:smallCaps w:val="false"/>
          <w:sz w:val="20"/>
          <w:u w:val="single"/>
        </w:rPr>
        <w:t>Section 10</w:t>
      </w:r>
      <w:r>
        <w:rPr>
          <w:rFonts w:ascii="Times New Roman" w:hAnsi="Times New Roman"/>
          <w:caps w:val="false"/>
          <w:smallCaps w:val="false"/>
          <w:sz w:val="20"/>
        </w:rPr>
        <w:t>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caps w:val="false"/>
          <w:smallCaps w:val="false"/>
          <w:sz w:val="20"/>
          <w:u w:val="single"/>
        </w:rPr>
        <w:t>Section 10</w:t>
      </w:r>
      <w:r>
        <w:rPr>
          <w:rFonts w:ascii="Times New Roman" w:hAnsi="Times New Roman"/>
          <w:caps w:val="false"/>
          <w:smallCaps w:val="false"/>
          <w:sz w:val="20"/>
        </w:rPr>
        <w:t>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 w:hAnsi="Times New Roman"/>
          <w:caps w:val="false"/>
          <w:smallCaps w:val="false"/>
          <w:sz w:val="20"/>
        </w:rPr>
      </w:pPr>
      <w:r>
        <w:rPr>
          <w:rFonts w:ascii="Times New Roman" w:hAnsi="Times New Roman"/>
          <w:caps w:val="false"/>
          <w:smallCaps w:val="false"/>
          <w:sz w:val="20"/>
        </w:rPr>
        <w:t>(d) Settlement Without Consent if Failure to Reimburse. If an indemnified party shall have requested an indemnifying party to reimburse the indemnified party for reasonable fees and expenses of counsel, such indemnifying party agrees that it shall be liable for any settlement of the nature contemplated by Section 10(a)(ii)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Contribution</w:t>
      </w:r>
      <w:r>
        <w:rPr>
          <w:rFonts w:ascii="Times New Roman" w:hAnsi="Times New Roman"/>
          <w:caps w:val="false"/>
          <w:smallCaps w:val="false"/>
          <w:sz w:val="20"/>
        </w:rPr>
        <w:t>. In order to provide for just and equitable contribution in circumstances in which the indemnification provided for in the foregoing paragraphs of this </w:t>
      </w:r>
      <w:r>
        <w:rPr>
          <w:rFonts w:ascii="Times New Roman" w:hAnsi="Times New Roman"/>
          <w:caps w:val="false"/>
          <w:smallCaps w:val="false"/>
          <w:sz w:val="20"/>
          <w:u w:val="single"/>
        </w:rPr>
        <w:t>Section 10</w:t>
      </w:r>
      <w:r>
        <w:rPr>
          <w:rFonts w:ascii="Times New Roman" w:hAnsi="Times New Roman"/>
          <w:caps w:val="false"/>
          <w:smallCaps w:val="false"/>
          <w:sz w:val="20"/>
        </w:rPr>
        <w:t>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hAnsi="Times New Roman"/>
          <w:caps w:val="false"/>
          <w:smallCaps w:val="false"/>
          <w:sz w:val="20"/>
          <w:u w:val="single"/>
        </w:rPr>
        <w:t>Section 10(e)</w:t>
      </w:r>
      <w:r>
        <w:rPr>
          <w:rFonts w:ascii="Times New Roman" w:hAnsi="Times New Roman"/>
          <w:caps w:val="false"/>
          <w:smallCaps w:val="false"/>
          <w:sz w:val="20"/>
        </w:rPr>
        <w:t>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caps w:val="false"/>
          <w:smallCaps w:val="false"/>
          <w:sz w:val="20"/>
          <w:u w:val="single"/>
        </w:rPr>
        <w:t>Section 10(e)</w:t>
      </w:r>
      <w:r>
        <w:rPr>
          <w:rFonts w:ascii="Times New Roman" w:hAnsi="Times New Roman"/>
          <w:caps w:val="false"/>
          <w:smallCaps w:val="false"/>
          <w:sz w:val="20"/>
        </w:rPr>
        <w:t> shall be deemed to include, for the purpose of this </w:t>
      </w:r>
      <w:r>
        <w:rPr>
          <w:rFonts w:ascii="Times New Roman" w:hAnsi="Times New Roman"/>
          <w:caps w:val="false"/>
          <w:smallCaps w:val="false"/>
          <w:sz w:val="20"/>
          <w:u w:val="single"/>
        </w:rPr>
        <w:t>Section 10(e)</w:t>
      </w:r>
      <w:r>
        <w:rPr>
          <w:rFonts w:ascii="Times New Roman" w:hAnsi="Times New Roman"/>
          <w:caps w:val="false"/>
          <w:smallCaps w:val="false"/>
          <w:sz w:val="20"/>
        </w:rPr>
        <w:t>, any legal or other expenses reasonably incurred by such indemnified party in connection with investigating or defending any such action or claim to the extent consistent with </w:t>
      </w:r>
      <w:r>
        <w:rPr>
          <w:rFonts w:ascii="Times New Roman" w:hAnsi="Times New Roman"/>
          <w:caps w:val="false"/>
          <w:smallCaps w:val="false"/>
          <w:sz w:val="20"/>
          <w:u w:val="single"/>
        </w:rPr>
        <w:t>Section 10(c)</w:t>
      </w:r>
      <w:r>
        <w:rPr>
          <w:rFonts w:ascii="Times New Roman" w:hAnsi="Times New Roman"/>
          <w:caps w:val="false"/>
          <w:smallCaps w:val="false"/>
          <w:sz w:val="20"/>
        </w:rPr>
        <w:t> hereof. Notwithstanding the foregoing provisions of this </w:t>
      </w:r>
      <w:r>
        <w:rPr>
          <w:rFonts w:ascii="Times New Roman" w:hAnsi="Times New Roman"/>
          <w:caps w:val="false"/>
          <w:smallCaps w:val="false"/>
          <w:sz w:val="20"/>
          <w:u w:val="single"/>
        </w:rPr>
        <w:t>Section 10(e)</w:t>
      </w:r>
      <w:r>
        <w:rPr>
          <w:rFonts w:ascii="Times New Roman" w:hAnsi="Times New Roman"/>
          <w:caps w:val="false"/>
          <w:smallCaps w:val="false"/>
          <w:sz w:val="20"/>
        </w:rPr>
        <w:t>, the Agent shall not be required to contribute any amount in excess of the commissions received by it under this Agreement and no person found guilty of fraudulent misrepresentation (within the meaning of </w:t>
      </w:r>
      <w:r>
        <w:rPr>
          <w:rFonts w:ascii="Times New Roman" w:hAnsi="Times New Roman"/>
          <w:caps w:val="false"/>
          <w:smallCaps w:val="false"/>
          <w:sz w:val="20"/>
          <w:u w:val="single"/>
        </w:rPr>
        <w:t>Section 11(f)</w:t>
      </w:r>
      <w:r>
        <w:rPr>
          <w:rFonts w:ascii="Times New Roman" w:hAnsi="Times New Roman"/>
          <w:caps w:val="false"/>
          <w:smallCaps w:val="false"/>
          <w:sz w:val="20"/>
        </w:rPr>
        <w:t> of the Securities Act) will be entitled to contribution from any person who was not guilty of such fraudulent misrepresentation. For purposes of this </w:t>
      </w:r>
      <w:r>
        <w:rPr>
          <w:rFonts w:ascii="Times New Roman" w:hAnsi="Times New Roman"/>
          <w:caps w:val="false"/>
          <w:smallCaps w:val="false"/>
          <w:sz w:val="20"/>
          <w:u w:val="single"/>
        </w:rPr>
        <w:t>Section 10(e)</w:t>
      </w:r>
      <w:r>
        <w:rPr>
          <w:rFonts w:ascii="Times New Roman" w:hAnsi="Times New Roman"/>
          <w:caps w:val="false"/>
          <w:smallCaps w:val="false"/>
          <w:sz w:val="20"/>
        </w:rPr>
        <w:t>, any person who controls a party to this Agreement within the meaning of the Securities Act, any affiliates of the Agent and any officers, directors, partners, employees or agents of the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hAnsi="Times New Roman"/>
          <w:caps w:val="false"/>
          <w:smallCaps w:val="false"/>
          <w:sz w:val="20"/>
          <w:u w:val="single"/>
        </w:rPr>
        <w:t>Section 10(e)</w:t>
      </w:r>
      <w:r>
        <w:rPr>
          <w:rFonts w:ascii="Times New Roman" w:hAnsi="Times New Roman"/>
          <w:caps w:val="false"/>
          <w:smallCaps w:val="false"/>
          <w:sz w:val="20"/>
        </w:rPr>
        <w:t>,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caps w:val="false"/>
          <w:smallCaps w:val="false"/>
          <w:sz w:val="20"/>
          <w:u w:val="single"/>
        </w:rPr>
        <w:t>Section 10(e)</w:t>
      </w:r>
      <w:r>
        <w:rPr>
          <w:rFonts w:ascii="Times New Roman" w:hAnsi="Times New Roman"/>
          <w:caps w:val="false"/>
          <w:smallCaps w:val="false"/>
          <w:sz w:val="20"/>
        </w:rPr>
        <w:t>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caps w:val="false"/>
          <w:smallCaps w:val="false"/>
          <w:sz w:val="20"/>
          <w:u w:val="single"/>
        </w:rPr>
        <w:t>Section 10(c)</w:t>
      </w:r>
      <w:r>
        <w:rPr>
          <w:rFonts w:ascii="Times New Roman" w:hAnsi="Times New Roman"/>
          <w:caps w:val="false"/>
          <w:smallCaps w:val="false"/>
          <w:sz w:val="20"/>
        </w:rPr>
        <w:t> hereof, no party will be liable for contribution with respect to any action or claim settled without its written consent if such consent is required pursuant to </w:t>
      </w:r>
      <w:r>
        <w:rPr>
          <w:rFonts w:ascii="Times New Roman" w:hAnsi="Times New Roman"/>
          <w:caps w:val="false"/>
          <w:smallCaps w:val="false"/>
          <w:sz w:val="20"/>
          <w:u w:val="single"/>
        </w:rPr>
        <w:t>Section 10(c)</w:t>
      </w:r>
      <w:r>
        <w:rPr>
          <w:rFonts w:ascii="Times New Roman" w:hAnsi="Times New Roman"/>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99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Representations and Agreements to Survive Delivery</w:t>
            </w:r>
            <w:r>
              <w:rPr>
                <w:rFonts w:ascii="Times New Roman" w:hAnsi="Times New Roman"/>
                <w:caps w:val="false"/>
                <w:smallCaps w:val="false"/>
                <w:sz w:val="20"/>
              </w:rPr>
              <w:t>. The indemnity and contribution agreements contained in </w:t>
            </w:r>
            <w:r>
              <w:rPr>
                <w:rFonts w:ascii="Times New Roman" w:hAnsi="Times New Roman"/>
                <w:caps w:val="false"/>
                <w:smallCaps w:val="false"/>
                <w:sz w:val="20"/>
                <w:u w:val="single"/>
              </w:rPr>
              <w:t>Section 10</w:t>
            </w:r>
            <w:r>
              <w:rPr>
                <w:rFonts w:ascii="Times New Roman" w:hAnsi="Times New Roman"/>
                <w:caps w:val="false"/>
                <w:smallCaps w:val="false"/>
                <w:sz w:val="20"/>
              </w:rPr>
              <w:t>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tc>
      </w:tr>
      <w:tr>
        <w:trPr/>
        <w:tc>
          <w:tcPr>
            <w:tcW w:w="231" w:type="dxa"/>
            <w:tcBorders/>
            <w:vAlign w:val="center"/>
          </w:tcPr>
          <w:p>
            <w:pPr>
              <w:pStyle w:val="TableContents"/>
              <w:bidi w:val="0"/>
              <w:spacing w:before="0" w:after="283"/>
              <w:jc w:val="left"/>
              <w:rPr/>
            </w:pPr>
            <w:r>
              <w:rPr/>
              <w:t> </w:t>
            </w:r>
          </w:p>
        </w:tc>
        <w:tc>
          <w:tcPr>
            <w:tcW w:w="9974" w:type="dxa"/>
            <w:tcBorders/>
            <w:vAlign w:val="center"/>
          </w:tcPr>
          <w:p>
            <w:pPr>
              <w:pStyle w:val="TableContents"/>
              <w:bidi w:val="0"/>
              <w:spacing w:before="0" w:after="283"/>
              <w:jc w:val="left"/>
              <w:rPr/>
            </w:pPr>
            <w:r>
              <w:rPr/>
              <w:t> </w:t>
            </w:r>
          </w:p>
        </w:tc>
      </w:tr>
      <w:tr>
        <w:trPr/>
        <w:tc>
          <w:tcPr>
            <w:tcW w:w="2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99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Termination</w:t>
            </w:r>
            <w:r>
              <w:rPr>
                <w:rFonts w:ascii="Times New Roman" w:hAnsi="Times New Roman"/>
                <w:caps w:val="false"/>
                <w:smallCaps w:val="false"/>
                <w:sz w:val="20"/>
              </w:rPr>
              <w:t>.</w:t>
            </w:r>
          </w:p>
        </w:tc>
      </w:tr>
      <w:tr>
        <w:trPr/>
        <w:tc>
          <w:tcPr>
            <w:tcW w:w="231" w:type="dxa"/>
            <w:tcBorders/>
            <w:vAlign w:val="center"/>
          </w:tcPr>
          <w:p>
            <w:pPr>
              <w:pStyle w:val="TableContents"/>
              <w:bidi w:val="0"/>
              <w:spacing w:before="0" w:after="283"/>
              <w:jc w:val="left"/>
              <w:rPr/>
            </w:pPr>
            <w:r>
              <w:rPr/>
              <w:t> </w:t>
            </w:r>
          </w:p>
        </w:tc>
        <w:tc>
          <w:tcPr>
            <w:tcW w:w="9974" w:type="dxa"/>
            <w:tcBorders/>
            <w:vAlign w:val="center"/>
          </w:tcPr>
          <w:p>
            <w:pPr>
              <w:pStyle w:val="TableContents"/>
              <w:bidi w:val="0"/>
              <w:spacing w:before="0" w:after="283"/>
              <w:jc w:val="left"/>
              <w:rPr/>
            </w:pPr>
            <w:r>
              <w:rPr/>
              <w:t> </w:t>
            </w:r>
          </w:p>
        </w:tc>
      </w:tr>
      <w:tr>
        <w:trPr/>
        <w:tc>
          <w:tcPr>
            <w:tcW w:w="2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Agent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hAnsi="Times New Roman"/>
                <w:caps w:val="false"/>
                <w:smallCaps w:val="false"/>
                <w:sz w:val="20"/>
                <w:u w:val="single"/>
              </w:rPr>
              <w:t>Section 8</w:t>
            </w:r>
            <w:r>
              <w:rPr>
                <w:rFonts w:ascii="Times New Roman" w:hAnsi="Times New Roman"/>
                <w:caps w:val="false"/>
                <w:smallCaps w:val="false"/>
                <w:sz w:val="20"/>
              </w:rPr>
              <w:t> (Payment of Expenses), </w:t>
            </w:r>
            <w:r>
              <w:rPr>
                <w:rFonts w:ascii="Times New Roman" w:hAnsi="Times New Roman"/>
                <w:caps w:val="false"/>
                <w:smallCaps w:val="false"/>
                <w:sz w:val="20"/>
                <w:u w:val="single"/>
              </w:rPr>
              <w:t>Section 10</w:t>
            </w:r>
            <w:r>
              <w:rPr>
                <w:rFonts w:ascii="Times New Roman" w:hAnsi="Times New Roman"/>
                <w:caps w:val="false"/>
                <w:smallCaps w:val="false"/>
                <w:sz w:val="20"/>
              </w:rPr>
              <w:t> (Indemnification and Contribution), </w:t>
            </w:r>
            <w:r>
              <w:rPr>
                <w:rFonts w:ascii="Times New Roman" w:hAnsi="Times New Roman"/>
                <w:caps w:val="false"/>
                <w:smallCaps w:val="false"/>
                <w:sz w:val="20"/>
                <w:u w:val="single"/>
              </w:rPr>
              <w:t>Section 11</w:t>
            </w:r>
            <w:r>
              <w:rPr>
                <w:rFonts w:ascii="Times New Roman" w:hAnsi="Times New Roman"/>
                <w:caps w:val="false"/>
                <w:smallCaps w:val="false"/>
                <w:sz w:val="20"/>
              </w:rPr>
              <w:t> (Representations and Agreements to Survive Delivery), </w:t>
            </w:r>
            <w:r>
              <w:rPr>
                <w:rFonts w:ascii="Times New Roman" w:hAnsi="Times New Roman"/>
                <w:caps w:val="false"/>
                <w:smallCaps w:val="false"/>
                <w:sz w:val="20"/>
                <w:u w:val="single"/>
              </w:rPr>
              <w:t>Section 17</w:t>
            </w:r>
            <w:r>
              <w:rPr>
                <w:rFonts w:ascii="Times New Roman" w:hAnsi="Times New Roman"/>
                <w:caps w:val="false"/>
                <w:smallCaps w:val="false"/>
                <w:sz w:val="20"/>
              </w:rPr>
              <w:t> (Governing Law and Time; Waiver of Jury Trial) and </w:t>
            </w:r>
            <w:r>
              <w:rPr>
                <w:rFonts w:ascii="Times New Roman" w:hAnsi="Times New Roman"/>
                <w:caps w:val="false"/>
                <w:smallCaps w:val="false"/>
                <w:sz w:val="20"/>
                <w:u w:val="single"/>
              </w:rPr>
              <w:t>Section 18</w:t>
            </w:r>
            <w:r>
              <w:rPr>
                <w:rFonts w:ascii="Times New Roman" w:hAnsi="Times New Roman"/>
                <w:caps w:val="false"/>
                <w:smallCaps w:val="false"/>
                <w:sz w:val="20"/>
              </w:rPr>
              <w:t> (Consent to Jurisdiction) hereof shall remain in full force and effect notwithstanding such termination. If the Agent elects to terminate this Agreement as provided in this </w:t>
            </w:r>
            <w:r>
              <w:rPr>
                <w:rFonts w:ascii="Times New Roman" w:hAnsi="Times New Roman"/>
                <w:caps w:val="false"/>
                <w:smallCaps w:val="false"/>
                <w:sz w:val="20"/>
                <w:u w:val="single"/>
              </w:rPr>
              <w:t>Section 12(a)</w:t>
            </w:r>
            <w:r>
              <w:rPr>
                <w:rFonts w:ascii="Times New Roman" w:hAnsi="Times New Roman"/>
                <w:caps w:val="false"/>
                <w:smallCaps w:val="false"/>
                <w:sz w:val="20"/>
              </w:rPr>
              <w:t>, the Agent shall provide the required notice as specified in </w:t>
            </w:r>
            <w:r>
              <w:rPr>
                <w:rFonts w:ascii="Times New Roman" w:hAnsi="Times New Roman"/>
                <w:caps w:val="false"/>
                <w:smallCaps w:val="false"/>
                <w:sz w:val="20"/>
                <w:u w:val="single"/>
              </w:rPr>
              <w:t>Section 13</w:t>
            </w:r>
            <w:r>
              <w:rPr>
                <w:rFonts w:ascii="Times New Roman" w:hAnsi="Times New Roman"/>
                <w:caps w:val="false"/>
                <w:smallCaps w:val="false"/>
                <w:sz w:val="20"/>
              </w:rPr>
              <w:t> (Notices).</w:t>
            </w:r>
          </w:p>
        </w:tc>
      </w:tr>
      <w:tr>
        <w:trPr/>
        <w:tc>
          <w:tcPr>
            <w:tcW w:w="231" w:type="dxa"/>
            <w:tcBorders/>
            <w:vAlign w:val="center"/>
          </w:tcPr>
          <w:p>
            <w:pPr>
              <w:pStyle w:val="TableContents"/>
              <w:bidi w:val="0"/>
              <w:spacing w:before="0" w:after="283"/>
              <w:jc w:val="left"/>
              <w:rPr/>
            </w:pPr>
            <w:r>
              <w:rPr/>
              <w:t> </w:t>
            </w:r>
          </w:p>
        </w:tc>
        <w:tc>
          <w:tcPr>
            <w:tcW w:w="9974" w:type="dxa"/>
            <w:tcBorders/>
            <w:vAlign w:val="center"/>
          </w:tcPr>
          <w:p>
            <w:pPr>
              <w:pStyle w:val="TableContents"/>
              <w:bidi w:val="0"/>
              <w:spacing w:before="0" w:after="283"/>
              <w:jc w:val="left"/>
              <w:rPr/>
            </w:pPr>
            <w:r>
              <w:rPr/>
              <w:t> </w:t>
            </w:r>
          </w:p>
        </w:tc>
      </w:tr>
      <w:tr>
        <w:trPr/>
        <w:tc>
          <w:tcPr>
            <w:tcW w:w="2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caps w:val="false"/>
                <w:smallCaps w:val="false"/>
                <w:sz w:val="20"/>
                <w:u w:val="single"/>
              </w:rPr>
              <w:t>Section 8</w:t>
            </w:r>
            <w:r>
              <w:rPr>
                <w:rFonts w:ascii="Times New Roman" w:hAnsi="Times New Roman"/>
                <w:caps w:val="false"/>
                <w:smallCaps w:val="false"/>
                <w:sz w:val="20"/>
              </w:rPr>
              <w:t>, </w:t>
            </w:r>
            <w:r>
              <w:rPr>
                <w:rFonts w:ascii="Times New Roman" w:hAnsi="Times New Roman"/>
                <w:caps w:val="false"/>
                <w:smallCaps w:val="false"/>
                <w:sz w:val="20"/>
                <w:u w:val="single"/>
              </w:rPr>
              <w:t>Section 10</w:t>
            </w:r>
            <w:r>
              <w:rPr>
                <w:rFonts w:ascii="Times New Roman" w:hAnsi="Times New Roman"/>
                <w:caps w:val="false"/>
                <w:smallCaps w:val="false"/>
                <w:sz w:val="20"/>
              </w:rPr>
              <w:t>, </w:t>
            </w:r>
            <w:r>
              <w:rPr>
                <w:rFonts w:ascii="Times New Roman" w:hAnsi="Times New Roman"/>
                <w:caps w:val="false"/>
                <w:smallCaps w:val="false"/>
                <w:sz w:val="20"/>
                <w:u w:val="single"/>
              </w:rPr>
              <w:t>Section 11</w:t>
            </w:r>
            <w:r>
              <w:rPr>
                <w:rFonts w:ascii="Times New Roman" w:hAnsi="Times New Roman"/>
                <w:caps w:val="false"/>
                <w:smallCaps w:val="false"/>
                <w:sz w:val="20"/>
              </w:rPr>
              <w:t>, </w:t>
            </w:r>
            <w:r>
              <w:rPr>
                <w:rFonts w:ascii="Times New Roman" w:hAnsi="Times New Roman"/>
                <w:caps w:val="false"/>
                <w:smallCaps w:val="false"/>
                <w:sz w:val="20"/>
                <w:u w:val="single"/>
              </w:rPr>
              <w:t>Section 17</w:t>
            </w:r>
            <w:r>
              <w:rPr>
                <w:rFonts w:ascii="Times New Roman" w:hAnsi="Times New Roman"/>
                <w:caps w:val="false"/>
                <w:smallCaps w:val="false"/>
                <w:sz w:val="20"/>
              </w:rPr>
              <w:t> and </w:t>
            </w:r>
            <w:r>
              <w:rPr>
                <w:rFonts w:ascii="Times New Roman" w:hAnsi="Times New Roman"/>
                <w:caps w:val="false"/>
                <w:smallCaps w:val="false"/>
                <w:sz w:val="20"/>
                <w:u w:val="single"/>
              </w:rPr>
              <w:t>Section 18</w:t>
            </w:r>
            <w:r>
              <w:rPr>
                <w:rFonts w:ascii="Times New Roman" w:hAnsi="Times New Roman"/>
                <w:caps w:val="false"/>
                <w:smallCaps w:val="false"/>
                <w:sz w:val="20"/>
              </w:rPr>
              <w:t> hereof shall remain in full force and effect notwithstanding such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caps w:val="false"/>
                <w:smallCaps w:val="false"/>
                <w:sz w:val="20"/>
                <w:u w:val="single"/>
              </w:rPr>
              <w:t>Section 8</w:t>
            </w:r>
            <w:r>
              <w:rPr>
                <w:rFonts w:ascii="Times New Roman" w:hAnsi="Times New Roman"/>
                <w:caps w:val="false"/>
                <w:smallCaps w:val="false"/>
                <w:sz w:val="20"/>
              </w:rPr>
              <w:t>, </w:t>
            </w:r>
            <w:r>
              <w:rPr>
                <w:rFonts w:ascii="Times New Roman" w:hAnsi="Times New Roman"/>
                <w:caps w:val="false"/>
                <w:smallCaps w:val="false"/>
                <w:sz w:val="20"/>
                <w:u w:val="single"/>
              </w:rPr>
              <w:t>Section 10</w:t>
            </w:r>
            <w:r>
              <w:rPr>
                <w:rFonts w:ascii="Times New Roman" w:hAnsi="Times New Roman"/>
                <w:caps w:val="false"/>
                <w:smallCaps w:val="false"/>
                <w:sz w:val="20"/>
              </w:rPr>
              <w:t>, </w:t>
            </w:r>
            <w:r>
              <w:rPr>
                <w:rFonts w:ascii="Times New Roman" w:hAnsi="Times New Roman"/>
                <w:caps w:val="false"/>
                <w:smallCaps w:val="false"/>
                <w:sz w:val="20"/>
                <w:u w:val="single"/>
              </w:rPr>
              <w:t>Section 11</w:t>
            </w:r>
            <w:r>
              <w:rPr>
                <w:rFonts w:ascii="Times New Roman" w:hAnsi="Times New Roman"/>
                <w:caps w:val="false"/>
                <w:smallCaps w:val="false"/>
                <w:sz w:val="20"/>
              </w:rPr>
              <w:t>, </w:t>
            </w:r>
            <w:r>
              <w:rPr>
                <w:rFonts w:ascii="Times New Roman" w:hAnsi="Times New Roman"/>
                <w:caps w:val="false"/>
                <w:smallCaps w:val="false"/>
                <w:sz w:val="20"/>
                <w:u w:val="single"/>
              </w:rPr>
              <w:t>Section 17</w:t>
            </w:r>
            <w:r>
              <w:rPr>
                <w:rFonts w:ascii="Times New Roman" w:hAnsi="Times New Roman"/>
                <w:caps w:val="false"/>
                <w:smallCaps w:val="false"/>
                <w:sz w:val="20"/>
              </w:rPr>
              <w:t> and </w:t>
            </w:r>
            <w:r>
              <w:rPr>
                <w:rFonts w:ascii="Times New Roman" w:hAnsi="Times New Roman"/>
                <w:caps w:val="false"/>
                <w:smallCaps w:val="false"/>
                <w:sz w:val="20"/>
                <w:u w:val="single"/>
              </w:rPr>
              <w:t>Section 18</w:t>
            </w:r>
            <w:r>
              <w:rPr>
                <w:rFonts w:ascii="Times New Roman" w:hAnsi="Times New Roman"/>
                <w:caps w:val="false"/>
                <w:smallCaps w:val="false"/>
                <w:sz w:val="20"/>
              </w:rPr>
              <w:t> hereof shall remain in full force and effect notwithstanding such termination.</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shall remain in full force and effect unless terminated pursuant to </w:t>
            </w:r>
            <w:r>
              <w:rPr>
                <w:rFonts w:ascii="Times New Roman" w:hAnsi="Times New Roman"/>
                <w:caps w:val="false"/>
                <w:smallCaps w:val="false"/>
                <w:sz w:val="20"/>
                <w:u w:val="single"/>
              </w:rPr>
              <w:t>Sections 12(a)</w:t>
            </w:r>
            <w:r>
              <w:rPr>
                <w:rFonts w:ascii="Times New Roman" w:hAnsi="Times New Roman"/>
                <w:caps w:val="false"/>
                <w:smallCaps w:val="false"/>
                <w:sz w:val="20"/>
              </w:rPr>
              <w:t>, </w:t>
            </w:r>
            <w:r>
              <w:rPr>
                <w:rFonts w:ascii="Times New Roman" w:hAnsi="Times New Roman"/>
                <w:caps w:val="false"/>
                <w:smallCaps w:val="false"/>
                <w:sz w:val="20"/>
                <w:u w:val="single"/>
              </w:rPr>
              <w:t>(b)</w:t>
            </w:r>
            <w:r>
              <w:rPr>
                <w:rFonts w:ascii="Times New Roman" w:hAnsi="Times New Roman"/>
                <w:caps w:val="false"/>
                <w:smallCaps w:val="false"/>
                <w:sz w:val="20"/>
              </w:rPr>
              <w:t>, or </w:t>
            </w:r>
            <w:r>
              <w:rPr>
                <w:rFonts w:ascii="Times New Roman" w:hAnsi="Times New Roman"/>
                <w:caps w:val="false"/>
                <w:smallCaps w:val="false"/>
                <w:sz w:val="20"/>
                <w:u w:val="single"/>
              </w:rPr>
              <w:t>(c)</w:t>
            </w:r>
            <w:r>
              <w:rPr>
                <w:rFonts w:ascii="Times New Roman" w:hAnsi="Times New Roman"/>
                <w:caps w:val="false"/>
                <w:smallCaps w:val="false"/>
                <w:sz w:val="20"/>
              </w:rPr>
              <w:t> above or otherwise by mutual agreement of the parties;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any such termination by mutual agreement shall in all cases be deemed to provide that </w:t>
            </w:r>
            <w:r>
              <w:rPr>
                <w:rFonts w:ascii="Times New Roman" w:hAnsi="Times New Roman"/>
                <w:caps w:val="false"/>
                <w:smallCaps w:val="false"/>
                <w:sz w:val="20"/>
                <w:u w:val="single"/>
              </w:rPr>
              <w:t>Section 8</w:t>
            </w:r>
            <w:r>
              <w:rPr>
                <w:rFonts w:ascii="Times New Roman" w:hAnsi="Times New Roman"/>
                <w:caps w:val="false"/>
                <w:smallCaps w:val="false"/>
                <w:sz w:val="20"/>
              </w:rPr>
              <w:t>, </w:t>
            </w:r>
            <w:r>
              <w:rPr>
                <w:rFonts w:ascii="Times New Roman" w:hAnsi="Times New Roman"/>
                <w:caps w:val="false"/>
                <w:smallCaps w:val="false"/>
                <w:sz w:val="20"/>
                <w:u w:val="single"/>
              </w:rPr>
              <w:t>Section 10</w:t>
            </w:r>
            <w:r>
              <w:rPr>
                <w:rFonts w:ascii="Times New Roman" w:hAnsi="Times New Roman"/>
                <w:caps w:val="false"/>
                <w:smallCaps w:val="false"/>
                <w:sz w:val="20"/>
              </w:rPr>
              <w:t>, </w:t>
            </w:r>
            <w:r>
              <w:rPr>
                <w:rFonts w:ascii="Times New Roman" w:hAnsi="Times New Roman"/>
                <w:caps w:val="false"/>
                <w:smallCaps w:val="false"/>
                <w:sz w:val="20"/>
                <w:u w:val="single"/>
              </w:rPr>
              <w:t>Section 11</w:t>
            </w:r>
            <w:r>
              <w:rPr>
                <w:rFonts w:ascii="Times New Roman" w:hAnsi="Times New Roman"/>
                <w:caps w:val="false"/>
                <w:smallCaps w:val="false"/>
                <w:sz w:val="20"/>
              </w:rPr>
              <w:t>, </w:t>
            </w:r>
            <w:r>
              <w:rPr>
                <w:rFonts w:ascii="Times New Roman" w:hAnsi="Times New Roman"/>
                <w:caps w:val="false"/>
                <w:smallCaps w:val="false"/>
                <w:sz w:val="20"/>
                <w:u w:val="single"/>
              </w:rPr>
              <w:t>Section 17</w:t>
            </w:r>
            <w:r>
              <w:rPr>
                <w:rFonts w:ascii="Times New Roman" w:hAnsi="Times New Roman"/>
                <w:caps w:val="false"/>
                <w:smallCaps w:val="false"/>
                <w:sz w:val="20"/>
              </w:rPr>
              <w:t> and </w:t>
            </w:r>
            <w:r>
              <w:rPr>
                <w:rFonts w:ascii="Times New Roman" w:hAnsi="Times New Roman"/>
                <w:caps w:val="false"/>
                <w:smallCaps w:val="false"/>
                <w:sz w:val="20"/>
                <w:u w:val="single"/>
              </w:rPr>
              <w:t>Section 18</w:t>
            </w:r>
            <w:r>
              <w:rPr>
                <w:rFonts w:ascii="Times New Roman" w:hAnsi="Times New Roman"/>
                <w:caps w:val="false"/>
                <w:smallCaps w:val="false"/>
                <w:sz w:val="20"/>
              </w:rPr>
              <w:t> shall remain in full force and effect.</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termination of this Agreement shall be effective on the date specified in such notice of termination;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additional limitations set forth in Section 8, in the event of termination of this Agreement prior to the sale of any Placement Shares, the Agent shall be entitled only to reimbursement of its out-of-pocket expenses actually incurred.</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Notices</w:t>
            </w:r>
            <w:r>
              <w:rPr>
                <w:rFonts w:ascii="Times New Roman" w:hAnsi="Times New Roman"/>
                <w:caps w:val="false"/>
                <w:smallCaps w:val="false"/>
                <w:sz w:val="20"/>
              </w:rPr>
              <w:t>. All notices or other communications required or permitted to be given by any party to any other party pursuant to the terms of this Agreement shall be in writing, unless otherwise specified, and if sent to the Agent, shall be delivered to:</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Cantor Fitzgerald &amp; Co.</w:t>
      </w:r>
    </w:p>
    <w:p>
      <w:pPr>
        <w:pStyle w:val="TextBody"/>
        <w:bidi w:val="0"/>
        <w:spacing w:lineRule="auto" w:line="288"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110 East 59th Street</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New York, NY 10022</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Attention: Capital Markets</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Email: CFCEO@cantor.com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Cantor Fitzgerald &amp; Co.</w:t>
      </w:r>
    </w:p>
    <w:p>
      <w:pPr>
        <w:pStyle w:val="TextBody"/>
        <w:bidi w:val="0"/>
        <w:spacing w:lineRule="auto" w:line="288"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110 East 59th Street</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New York, NY 10022</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Attention: General Counsel</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Email: legal-IBD@cantor.com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both"/>
        <w:rPr>
          <w:rFonts w:ascii="Times New Roman" w:hAnsi="Times New Roman"/>
          <w:caps w:val="false"/>
          <w:smallCaps w:val="false"/>
          <w:sz w:val="20"/>
        </w:rPr>
      </w:pPr>
      <w:r>
        <w:rPr>
          <w:rFonts w:ascii="Times New Roman" w:hAnsi="Times New Roman"/>
          <w:caps w:val="false"/>
          <w:smallCaps w:val="false"/>
          <w:sz w:val="20"/>
        </w:rPr>
        <w:t>Cooley LLP</w:t>
      </w:r>
    </w:p>
    <w:p>
      <w:pPr>
        <w:pStyle w:val="TextBody"/>
        <w:bidi w:val="0"/>
        <w:spacing w:before="0" w:after="0"/>
        <w:ind w:left="2160" w:right="0" w:hanging="720"/>
        <w:jc w:val="both"/>
        <w:rPr>
          <w:rFonts w:ascii="Times New Roman" w:hAnsi="Times New Roman"/>
          <w:caps w:val="false"/>
          <w:smallCaps w:val="false"/>
          <w:sz w:val="20"/>
        </w:rPr>
      </w:pPr>
      <w:r>
        <w:rPr>
          <w:rFonts w:ascii="Times New Roman" w:hAnsi="Times New Roman"/>
          <w:caps w:val="false"/>
          <w:smallCaps w:val="false"/>
          <w:sz w:val="20"/>
        </w:rPr>
        <w:t>55 Hudson Yards</w:t>
      </w:r>
    </w:p>
    <w:p>
      <w:pPr>
        <w:pStyle w:val="TextBody"/>
        <w:bidi w:val="0"/>
        <w:spacing w:before="0" w:after="0"/>
        <w:ind w:left="2160" w:right="0" w:hanging="720"/>
        <w:jc w:val="both"/>
        <w:rPr>
          <w:rFonts w:ascii="Times New Roman" w:hAnsi="Times New Roman"/>
          <w:caps w:val="false"/>
          <w:smallCaps w:val="false"/>
          <w:sz w:val="20"/>
        </w:rPr>
      </w:pPr>
      <w:r>
        <w:rPr>
          <w:rFonts w:ascii="Times New Roman" w:hAnsi="Times New Roman"/>
          <w:caps w:val="false"/>
          <w:smallCaps w:val="false"/>
          <w:sz w:val="20"/>
        </w:rPr>
        <w:t>New York, NY 10001</w:t>
      </w:r>
    </w:p>
    <w:p>
      <w:pPr>
        <w:pStyle w:val="TextBody"/>
        <w:bidi w:val="0"/>
        <w:spacing w:before="0" w:after="0"/>
        <w:ind w:left="2160" w:right="0" w:hanging="720"/>
        <w:jc w:val="both"/>
        <w:rPr>
          <w:rFonts w:ascii="Times New Roman" w:hAnsi="Times New Roman"/>
          <w:caps w:val="false"/>
          <w:smallCaps w:val="false"/>
          <w:sz w:val="20"/>
        </w:rPr>
      </w:pPr>
      <w:r>
        <w:rPr>
          <w:rFonts w:ascii="Times New Roman" w:hAnsi="Times New Roman"/>
          <w:caps w:val="false"/>
          <w:smallCaps w:val="false"/>
          <w:sz w:val="20"/>
        </w:rPr>
        <w:t>Attention: Daniel I. Goldberg</w:t>
      </w:r>
    </w:p>
    <w:p>
      <w:pPr>
        <w:pStyle w:val="TextBody"/>
        <w:bidi w:val="0"/>
        <w:spacing w:before="0" w:after="0"/>
        <w:ind w:left="2160" w:right="0" w:hanging="720"/>
        <w:jc w:val="both"/>
        <w:rPr>
          <w:rFonts w:ascii="Times New Roman" w:hAnsi="Times New Roman"/>
          <w:caps w:val="false"/>
          <w:smallCaps w:val="false"/>
          <w:sz w:val="20"/>
        </w:rPr>
      </w:pPr>
      <w:r>
        <w:rPr>
          <w:rFonts w:ascii="Times New Roman" w:hAnsi="Times New Roman"/>
          <w:caps w:val="false"/>
          <w:smallCaps w:val="false"/>
          <w:sz w:val="20"/>
        </w:rPr>
        <w:t>E-mail: dgoldberg@cooley.com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720"/>
        <w:jc w:val="both"/>
        <w:rPr>
          <w:rFonts w:ascii="Times New Roman" w:hAnsi="Times New Roman"/>
          <w:caps w:val="false"/>
          <w:smallCaps w:val="false"/>
          <w:sz w:val="20"/>
        </w:rPr>
      </w:pPr>
      <w:r>
        <w:rPr>
          <w:rFonts w:ascii="Times New Roman" w:hAnsi="Times New Roman"/>
          <w:caps w:val="false"/>
          <w:smallCaps w:val="false"/>
          <w:sz w:val="20"/>
        </w:rPr>
        <w:t>and if to the Company, shall be delivered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Cassava Sciences, Inc.</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6801 N. Capital of Texas Highway</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Building 1, Suite 300</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Austin, TX 78731</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Attention: R. Christopher Cook</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E-mail: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Jones Day</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250 Vesey Street</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New York, NY 10281</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Attention: Peter Devlin and Ferrell Keel</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E-mail: </w:t>
      </w:r>
      <w:r>
        <w:rPr>
          <w:rFonts w:ascii="Times New Roman" w:hAnsi="Times New Roman"/>
          <w:caps w:val="false"/>
          <w:smallCaps w:val="false"/>
          <w:sz w:val="20"/>
          <w:u w:val="single"/>
        </w:rPr>
        <w:t>pdevlin@jonesday.com</w:t>
      </w:r>
      <w:r>
        <w:rPr>
          <w:rFonts w:ascii="Times New Roman" w:hAnsi="Times New Roman"/>
          <w:caps w:val="false"/>
          <w:smallCaps w:val="false"/>
          <w:sz w:val="20"/>
        </w:rPr>
        <w:t>; </w:t>
      </w:r>
      <w:r>
        <w:rPr>
          <w:rFonts w:ascii="Times New Roman" w:hAnsi="Times New Roman"/>
          <w:caps w:val="false"/>
          <w:smallCaps w:val="false"/>
          <w:sz w:val="20"/>
          <w:u w:val="single"/>
        </w:rPr>
        <w:t>fkeel@jonesday.com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hAnsi="Times New Roman"/>
          <w:b/>
          <w:caps w:val="false"/>
          <w:smallCaps w:val="false"/>
          <w:sz w:val="20"/>
          <w:u w:val="single"/>
        </w:rPr>
        <w:t>Business Day</w:t>
      </w:r>
      <w:r>
        <w:rPr>
          <w:rFonts w:ascii="Times New Roman" w:hAnsi="Times New Roman"/>
          <w:caps w:val="false"/>
          <w:smallCaps w:val="false"/>
          <w:sz w:val="20"/>
        </w:rPr>
        <w:t>” shall mean any day on which the Exchange and commercial banks in the City of New York are open for business.</w:t>
      </w:r>
    </w:p>
    <w:p>
      <w:pPr>
        <w:pStyle w:val="TextBody"/>
        <w:bidi w:val="0"/>
        <w:spacing w:before="0" w:after="0"/>
        <w:ind w:left="540" w:right="0" w:firstLine="540"/>
        <w:jc w:val="left"/>
        <w:rPr>
          <w:caps w:val="false"/>
          <w:smallCaps w:val="false"/>
        </w:rPr>
      </w:pPr>
      <w:r>
        <w:rPr>
          <w:caps w:val="false"/>
          <w:smallCaps w:val="false"/>
        </w:rPr>
        <w:t> </w:t>
      </w:r>
    </w:p>
    <w:p>
      <w:pPr>
        <w:pStyle w:val="TextBody"/>
        <w:bidi w:val="0"/>
        <w:spacing w:before="0" w:after="0"/>
        <w:ind w:left="540" w:right="0" w:firstLine="540"/>
        <w:jc w:val="both"/>
        <w:rPr>
          <w:rFonts w:ascii="Times New Roman" w:hAnsi="Times New Roman"/>
          <w:caps w:val="false"/>
          <w:smallCaps w:val="false"/>
          <w:sz w:val="20"/>
        </w:rPr>
      </w:pPr>
      <w:r>
        <w:rPr>
          <w:rFonts w:ascii="Times New Roman" w:hAnsi="Times New Roman"/>
          <w:caps w:val="false"/>
          <w:smallCaps w:val="false"/>
          <w:sz w:val="20"/>
        </w:rPr>
        <w:t>An electronic communication (“</w:t>
      </w:r>
      <w:r>
        <w:rPr>
          <w:rFonts w:ascii="Times New Roman" w:hAnsi="Times New Roman"/>
          <w:b/>
          <w:caps w:val="false"/>
          <w:smallCaps w:val="false"/>
          <w:sz w:val="20"/>
          <w:u w:val="single"/>
        </w:rPr>
        <w:t>Electronic Notice</w:t>
      </w:r>
      <w:r>
        <w:rPr>
          <w:rFonts w:ascii="Times New Roman" w:hAnsi="Times New Roman"/>
          <w:caps w:val="false"/>
          <w:smallCaps w:val="false"/>
          <w:sz w:val="20"/>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hAnsi="Times New Roman"/>
          <w:b/>
          <w:caps w:val="false"/>
          <w:smallCaps w:val="false"/>
          <w:sz w:val="20"/>
          <w:u w:val="single"/>
        </w:rPr>
        <w:t>Nonelectronic Notic</w:t>
      </w:r>
      <w:r>
        <w:rPr>
          <w:rFonts w:ascii="Times New Roman" w:hAnsi="Times New Roman"/>
          <w:b/>
          <w:caps w:val="false"/>
          <w:smallCaps w:val="false"/>
          <w:sz w:val="20"/>
        </w:rPr>
        <w:t>e</w:t>
      </w:r>
      <w:r>
        <w:rPr>
          <w:rFonts w:ascii="Times New Roman" w:hAnsi="Times New Roman"/>
          <w:caps w:val="false"/>
          <w:smallCaps w:val="false"/>
          <w:sz w:val="20"/>
        </w:rPr>
        <w:t>”) which shall be sent to the requesting party within ten (10) days of receipt of the written request for Nonelectronic Notice.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9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Successors and Assigns</w:t>
            </w:r>
            <w:r>
              <w:rPr>
                <w:rFonts w:ascii="Times New Roman" w:hAnsi="Times New Roman"/>
                <w:caps w:val="false"/>
                <w:smallCaps w:val="false"/>
                <w:sz w:val="20"/>
              </w:rPr>
              <w:t>. This Agreement shall inure to the benefit of and be binding upon the Company and the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i/>
                <w:caps w:val="false"/>
                <w:smallCaps w:val="false"/>
                <w:sz w:val="20"/>
              </w:rPr>
              <w:t>provided</w:t>
            </w:r>
            <w:r>
              <w:rPr>
                <w:rFonts w:ascii="Times New Roman" w:hAnsi="Times New Roman"/>
                <w:caps w:val="false"/>
                <w:smallCaps w:val="false"/>
                <w:sz w:val="20"/>
              </w:rPr>
              <w:t>, </w:t>
            </w:r>
            <w:r>
              <w:rPr>
                <w:rFonts w:ascii="Times New Roman" w:hAnsi="Times New Roman"/>
                <w:i/>
                <w:caps w:val="false"/>
                <w:smallCaps w:val="false"/>
                <w:sz w:val="20"/>
              </w:rPr>
              <w:t>however</w:t>
            </w:r>
            <w:r>
              <w:rPr>
                <w:rFonts w:ascii="Times New Roman" w:hAnsi="Times New Roman"/>
                <w:caps w:val="false"/>
                <w:smallCaps w:val="false"/>
                <w:sz w:val="20"/>
              </w:rPr>
              <w:t>, that the Agent may assign its rights and obligations hereunder to an affiliate thereof without obtaining the Company’s 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99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Adjustments for Stock Splits</w:t>
            </w:r>
            <w:r>
              <w:rPr>
                <w:rFonts w:ascii="Times New Roman" w:hAnsi="Times New Roman"/>
                <w:caps w:val="false"/>
                <w:smallCaps w:val="false"/>
                <w:sz w:val="20"/>
              </w:rPr>
              <w:t>. The parties acknowledge and agree that all share-related numbers contained in this Agreement shall be adjusted to take into account any stock split, stock dividend or similar event effected with respect to the Placement Shares.</w:t>
            </w:r>
          </w:p>
        </w:tc>
      </w:tr>
      <w:tr>
        <w:trPr/>
        <w:tc>
          <w:tcPr>
            <w:tcW w:w="232" w:type="dxa"/>
            <w:tcBorders/>
            <w:vAlign w:val="center"/>
          </w:tcPr>
          <w:p>
            <w:pPr>
              <w:pStyle w:val="TableContents"/>
              <w:bidi w:val="0"/>
              <w:spacing w:before="0" w:after="283"/>
              <w:jc w:val="left"/>
              <w:rPr/>
            </w:pPr>
            <w:r>
              <w:rPr/>
              <w:t> </w:t>
            </w:r>
          </w:p>
        </w:tc>
        <w:tc>
          <w:tcPr>
            <w:tcW w:w="9973" w:type="dxa"/>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99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Entire Agreement; Amendment; Severability; Waiver</w:t>
            </w:r>
            <w:r>
              <w:rPr>
                <w:rFonts w:ascii="Times New Roman" w:hAnsi="Times New Roman"/>
                <w:caps w:val="false"/>
                <w:smallCaps w:val="false"/>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tc>
      </w:tr>
      <w:tr>
        <w:trPr/>
        <w:tc>
          <w:tcPr>
            <w:tcW w:w="232" w:type="dxa"/>
            <w:tcBorders/>
            <w:vAlign w:val="center"/>
          </w:tcPr>
          <w:p>
            <w:pPr>
              <w:pStyle w:val="TableContents"/>
              <w:bidi w:val="0"/>
              <w:spacing w:before="0" w:after="283"/>
              <w:jc w:val="left"/>
              <w:rPr/>
            </w:pPr>
            <w:r>
              <w:rPr/>
              <w:t> </w:t>
            </w:r>
          </w:p>
        </w:tc>
        <w:tc>
          <w:tcPr>
            <w:tcW w:w="9973" w:type="dxa"/>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w:t>
            </w:r>
          </w:p>
        </w:tc>
        <w:tc>
          <w:tcPr>
            <w:tcW w:w="99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GOVERNING LAW AND TIME; WAIVER OF JURY TRIAL</w:t>
            </w:r>
            <w:r>
              <w:rPr>
                <w:rFonts w:ascii="Times New Roman" w:hAnsi="Times New Roman"/>
                <w:b/>
                <w:caps w:val="false"/>
                <w:smallCaps w:val="false"/>
                <w:sz w:val="20"/>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tc>
      </w:tr>
      <w:tr>
        <w:trPr/>
        <w:tc>
          <w:tcPr>
            <w:tcW w:w="232" w:type="dxa"/>
            <w:tcBorders/>
            <w:vAlign w:val="center"/>
          </w:tcPr>
          <w:p>
            <w:pPr>
              <w:pStyle w:val="TableContents"/>
              <w:bidi w:val="0"/>
              <w:spacing w:before="0" w:after="283"/>
              <w:jc w:val="left"/>
              <w:rPr/>
            </w:pPr>
            <w:r>
              <w:rPr/>
              <w:t> </w:t>
            </w:r>
          </w:p>
        </w:tc>
        <w:tc>
          <w:tcPr>
            <w:tcW w:w="9973" w:type="dxa"/>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w:t>
            </w:r>
          </w:p>
        </w:tc>
        <w:tc>
          <w:tcPr>
            <w:tcW w:w="99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CONSENT TO JURISDICTION</w:t>
            </w:r>
            <w:r>
              <w:rPr>
                <w:rFonts w:ascii="Times New Roman" w:hAnsi="Times New Roman"/>
                <w:b/>
                <w:caps w:val="false"/>
                <w:smallCaps w:val="false"/>
                <w:sz w:val="20"/>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w:t>
            </w:r>
          </w:p>
        </w:tc>
        <w:tc>
          <w:tcPr>
            <w:tcW w:w="99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tc>
      </w:tr>
      <w:tr>
        <w:trPr/>
        <w:tc>
          <w:tcPr>
            <w:tcW w:w="233" w:type="dxa"/>
            <w:tcBorders/>
            <w:vAlign w:val="center"/>
          </w:tcPr>
          <w:p>
            <w:pPr>
              <w:pStyle w:val="TableContents"/>
              <w:bidi w:val="0"/>
              <w:spacing w:before="0" w:after="283"/>
              <w:jc w:val="left"/>
              <w:rPr/>
            </w:pPr>
            <w:r>
              <w:rPr/>
              <w:t> </w:t>
            </w:r>
          </w:p>
        </w:tc>
        <w:tc>
          <w:tcPr>
            <w:tcW w:w="9972" w:type="dxa"/>
            <w:tcBorders/>
            <w:vAlign w:val="center"/>
          </w:tcPr>
          <w:p>
            <w:pPr>
              <w:pStyle w:val="TableContents"/>
              <w:bidi w:val="0"/>
              <w:spacing w:before="0" w:after="283"/>
              <w:jc w:val="left"/>
              <w:rPr/>
            </w:pPr>
            <w:r>
              <w:rPr/>
              <w:t> </w:t>
            </w:r>
          </w:p>
        </w:tc>
      </w:tr>
      <w:tr>
        <w:trPr/>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w:t>
            </w:r>
          </w:p>
        </w:tc>
        <w:tc>
          <w:tcPr>
            <w:tcW w:w="99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Construction</w:t>
            </w:r>
            <w:r>
              <w:rPr>
                <w:rFonts w:ascii="Times New Roman" w:hAnsi="Times New Roman"/>
                <w:caps w:val="false"/>
                <w:smallCaps w:val="false"/>
                <w:sz w:val="20"/>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tc>
      </w:tr>
      <w:tr>
        <w:trPr/>
        <w:tc>
          <w:tcPr>
            <w:tcW w:w="233" w:type="dxa"/>
            <w:tcBorders/>
            <w:vAlign w:val="center"/>
          </w:tcPr>
          <w:p>
            <w:pPr>
              <w:pStyle w:val="TableContents"/>
              <w:bidi w:val="0"/>
              <w:spacing w:before="0" w:after="283"/>
              <w:jc w:val="left"/>
              <w:rPr/>
            </w:pPr>
            <w:r>
              <w:rPr/>
              <w:t> </w:t>
            </w:r>
          </w:p>
        </w:tc>
        <w:tc>
          <w:tcPr>
            <w:tcW w:w="9972" w:type="dxa"/>
            <w:tcBorders/>
            <w:vAlign w:val="center"/>
          </w:tcPr>
          <w:p>
            <w:pPr>
              <w:pStyle w:val="TableContents"/>
              <w:bidi w:val="0"/>
              <w:spacing w:before="0" w:after="283"/>
              <w:jc w:val="left"/>
              <w:rPr/>
            </w:pPr>
            <w:r>
              <w:rPr/>
              <w:t> </w:t>
            </w:r>
          </w:p>
        </w:tc>
      </w:tr>
      <w:tr>
        <w:trPr/>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99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Permitted Free Writing Prospectuses</w:t>
            </w:r>
            <w:r>
              <w:rPr>
                <w:rFonts w:ascii="Times New Roman" w:hAnsi="Times New Roman"/>
                <w:caps w:val="false"/>
                <w:smallCaps w:val="false"/>
                <w:sz w:val="20"/>
              </w:rPr>
              <w:t>. The Company represents, warrants and agrees that, unless it obtains the prior written consent of the Agent, and the Agent represents, warrants and agrees that, unless it obtains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hAnsi="Times New Roman"/>
                <w:caps w:val="false"/>
                <w:smallCaps w:val="false"/>
                <w:sz w:val="20"/>
                <w:u w:val="single"/>
              </w:rPr>
              <w:t>Exhibit 21</w:t>
            </w:r>
            <w:r>
              <w:rPr>
                <w:rFonts w:ascii="Times New Roman" w:hAnsi="Times New Roman"/>
                <w:caps w:val="false"/>
                <w:smallCaps w:val="false"/>
                <w:sz w:val="20"/>
              </w:rPr>
              <w:t> hereto are Permitted Free Writing Prospectuses.</w:t>
            </w:r>
          </w:p>
        </w:tc>
      </w:tr>
      <w:tr>
        <w:trPr/>
        <w:tc>
          <w:tcPr>
            <w:tcW w:w="233" w:type="dxa"/>
            <w:tcBorders/>
            <w:vAlign w:val="center"/>
          </w:tcPr>
          <w:p>
            <w:pPr>
              <w:pStyle w:val="TableContents"/>
              <w:bidi w:val="0"/>
              <w:spacing w:before="0" w:after="283"/>
              <w:jc w:val="left"/>
              <w:rPr/>
            </w:pPr>
            <w:r>
              <w:rPr/>
              <w:t> </w:t>
            </w:r>
          </w:p>
        </w:tc>
        <w:tc>
          <w:tcPr>
            <w:tcW w:w="9972" w:type="dxa"/>
            <w:tcBorders/>
            <w:vAlign w:val="center"/>
          </w:tcPr>
          <w:p>
            <w:pPr>
              <w:pStyle w:val="TableContents"/>
              <w:bidi w:val="0"/>
              <w:spacing w:before="0" w:after="283"/>
              <w:jc w:val="left"/>
              <w:rPr/>
            </w:pPr>
            <w:r>
              <w:rPr/>
              <w:t> </w:t>
            </w:r>
          </w:p>
        </w:tc>
      </w:tr>
      <w:tr>
        <w:trPr/>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w:t>
            </w:r>
          </w:p>
        </w:tc>
        <w:tc>
          <w:tcPr>
            <w:tcW w:w="99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Absence of Fiduciary Relationship</w:t>
            </w:r>
            <w:r>
              <w:rPr>
                <w:rFonts w:ascii="Times New Roman" w:hAnsi="Times New Roman"/>
                <w:caps w:val="false"/>
                <w:smallCaps w:val="false"/>
                <w:sz w:val="20"/>
              </w:rPr>
              <w:t>. The Company acknowledges and agrees that:</w:t>
            </w:r>
          </w:p>
        </w:tc>
      </w:tr>
      <w:tr>
        <w:trPr/>
        <w:tc>
          <w:tcPr>
            <w:tcW w:w="233" w:type="dxa"/>
            <w:tcBorders/>
            <w:vAlign w:val="center"/>
          </w:tcPr>
          <w:p>
            <w:pPr>
              <w:pStyle w:val="TableContents"/>
              <w:bidi w:val="0"/>
              <w:spacing w:before="0" w:after="283"/>
              <w:jc w:val="left"/>
              <w:rPr/>
            </w:pPr>
            <w:r>
              <w:rPr/>
              <w:t> </w:t>
            </w:r>
          </w:p>
        </w:tc>
        <w:tc>
          <w:tcPr>
            <w:tcW w:w="9972" w:type="dxa"/>
            <w:tcBorders/>
            <w:vAlign w:val="center"/>
          </w:tcPr>
          <w:p>
            <w:pPr>
              <w:pStyle w:val="TableContents"/>
              <w:bidi w:val="0"/>
              <w:spacing w:before="0" w:after="283"/>
              <w:jc w:val="left"/>
              <w:rPr/>
            </w:pPr>
            <w:r>
              <w:rPr/>
              <w:t> </w:t>
            </w:r>
          </w:p>
        </w:tc>
      </w:tr>
      <w:tr>
        <w:trPr/>
        <w:tc>
          <w:tcPr>
            <w:tcW w:w="2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capable of evaluating and understanding, and understands and accepts, the terms, risks and conditions of the transactions contemplated by this Agreement;</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tc>
      </w:tr>
      <w:tr>
        <w:trPr/>
        <w:tc>
          <w:tcPr>
            <w:tcW w:w="239" w:type="dxa"/>
            <w:tcBorders/>
            <w:vAlign w:val="center"/>
          </w:tcPr>
          <w:p>
            <w:pPr>
              <w:pStyle w:val="TableContents"/>
              <w:bidi w:val="0"/>
              <w:spacing w:before="0" w:after="283"/>
              <w:jc w:val="left"/>
              <w:rPr/>
            </w:pPr>
            <w:r>
              <w:rPr/>
              <w:t> </w:t>
            </w:r>
          </w:p>
        </w:tc>
        <w:tc>
          <w:tcPr>
            <w:tcW w:w="9966" w:type="dxa"/>
            <w:tcBorders/>
            <w:vAlign w:val="center"/>
          </w:tcPr>
          <w:p>
            <w:pPr>
              <w:pStyle w:val="TableContents"/>
              <w:bidi w:val="0"/>
              <w:spacing w:before="0" w:after="283"/>
              <w:jc w:val="left"/>
              <w:rPr/>
            </w:pPr>
            <w:r>
              <w:rPr/>
              <w:t> </w:t>
            </w:r>
          </w:p>
        </w:tc>
      </w:tr>
      <w:tr>
        <w:trPr/>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Definitions</w:t>
            </w:r>
            <w:r>
              <w:rPr>
                <w:rFonts w:ascii="Times New Roman" w:hAnsi="Times New Roman"/>
                <w:caps w:val="false"/>
                <w:smallCaps w:val="false"/>
                <w:sz w:val="20"/>
              </w:rPr>
              <w:t>. As used in this Agreement, the following terms have the respective meanings set forth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caps w:val="false"/>
          <w:smallCaps w:val="false"/>
          <w:sz w:val="20"/>
          <w:u w:val="single"/>
        </w:rPr>
        <w:t>Applicable Time</w:t>
      </w:r>
      <w:r>
        <w:rPr>
          <w:rFonts w:ascii="Times New Roman" w:hAnsi="Times New Roman"/>
          <w:caps w:val="false"/>
          <w:smallCaps w:val="false"/>
          <w:sz w:val="20"/>
        </w:rPr>
        <w:t>” means (i) each Representation Date, (ii) the time of each sale of any Placement Shares pursuant to this Agreement and (iii) each 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caps w:val="false"/>
          <w:smallCaps w:val="false"/>
          <w:sz w:val="20"/>
          <w:u w:val="single"/>
        </w:rPr>
        <w:t>Governmental Authority</w:t>
      </w:r>
      <w:r>
        <w:rPr>
          <w:rFonts w:ascii="Times New Roman" w:hAnsi="Times New Roman"/>
          <w:caps w:val="false"/>
          <w:smallCaps w:val="false"/>
          <w:sz w:val="20"/>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caps w:val="false"/>
          <w:smallCaps w:val="false"/>
          <w:sz w:val="20"/>
          <w:u w:val="single"/>
        </w:rPr>
        <w:t>Issuer Free Writing Prospectus</w:t>
      </w:r>
      <w:r>
        <w:rPr>
          <w:rFonts w:ascii="Times New Roman" w:hAnsi="Times New Roman"/>
          <w:caps w:val="false"/>
          <w:smallCaps w:val="false"/>
          <w:sz w:val="20"/>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caps w:val="false"/>
          <w:smallCaps w:val="false"/>
        </w:rPr>
      </w:pPr>
      <w:r>
        <w:rPr>
          <w:caps w:val="false"/>
          <w:smallCaps w:val="false"/>
        </w:rPr>
        <w:t>“</w:t>
      </w:r>
      <w:r>
        <w:rPr>
          <w:rFonts w:ascii="Times New Roman" w:hAnsi="Times New Roman"/>
          <w:b/>
          <w:caps w:val="false"/>
          <w:smallCaps w:val="false"/>
          <w:sz w:val="20"/>
          <w:u w:val="single"/>
        </w:rPr>
        <w:t>Rule 164</w:t>
      </w:r>
      <w:r>
        <w:rPr>
          <w:rFonts w:ascii="Times New Roman" w:hAnsi="Times New Roman"/>
          <w:caps w:val="false"/>
          <w:smallCaps w:val="false"/>
          <w:sz w:val="20"/>
        </w:rPr>
        <w:t>,” “</w:t>
      </w:r>
      <w:r>
        <w:rPr>
          <w:rFonts w:ascii="Times New Roman" w:hAnsi="Times New Roman"/>
          <w:b/>
          <w:caps w:val="false"/>
          <w:smallCaps w:val="false"/>
          <w:sz w:val="20"/>
          <w:u w:val="single"/>
        </w:rPr>
        <w:t>Rule 172</w:t>
      </w:r>
      <w:r>
        <w:rPr>
          <w:rFonts w:ascii="Times New Roman" w:hAnsi="Times New Roman"/>
          <w:caps w:val="false"/>
          <w:smallCaps w:val="false"/>
          <w:sz w:val="20"/>
        </w:rPr>
        <w:t>,” “</w:t>
      </w:r>
      <w:r>
        <w:rPr>
          <w:rFonts w:ascii="Times New Roman" w:hAnsi="Times New Roman"/>
          <w:b/>
          <w:caps w:val="false"/>
          <w:smallCaps w:val="false"/>
          <w:sz w:val="20"/>
          <w:u w:val="single"/>
        </w:rPr>
        <w:t>Rule 405</w:t>
      </w:r>
      <w:r>
        <w:rPr>
          <w:rFonts w:ascii="Times New Roman" w:hAnsi="Times New Roman"/>
          <w:caps w:val="false"/>
          <w:smallCaps w:val="false"/>
          <w:sz w:val="20"/>
        </w:rPr>
        <w:t>,” “</w:t>
      </w:r>
      <w:r>
        <w:rPr>
          <w:rFonts w:ascii="Times New Roman" w:hAnsi="Times New Roman"/>
          <w:b/>
          <w:caps w:val="false"/>
          <w:smallCaps w:val="false"/>
          <w:sz w:val="20"/>
          <w:u w:val="single"/>
        </w:rPr>
        <w:t>Rule 415</w:t>
      </w:r>
      <w:r>
        <w:rPr>
          <w:rFonts w:ascii="Times New Roman" w:hAnsi="Times New Roman"/>
          <w:caps w:val="false"/>
          <w:smallCaps w:val="false"/>
          <w:sz w:val="20"/>
        </w:rPr>
        <w:t>,” “</w:t>
      </w:r>
      <w:r>
        <w:rPr>
          <w:rFonts w:ascii="Times New Roman" w:hAnsi="Times New Roman"/>
          <w:b/>
          <w:caps w:val="false"/>
          <w:smallCaps w:val="false"/>
          <w:sz w:val="20"/>
          <w:u w:val="single"/>
        </w:rPr>
        <w:t>Rule 424</w:t>
      </w:r>
      <w:r>
        <w:rPr>
          <w:rFonts w:ascii="Times New Roman" w:hAnsi="Times New Roman"/>
          <w:caps w:val="false"/>
          <w:smallCaps w:val="false"/>
          <w:sz w:val="20"/>
        </w:rPr>
        <w:t>,” “</w:t>
      </w:r>
      <w:r>
        <w:rPr>
          <w:rFonts w:ascii="Times New Roman" w:hAnsi="Times New Roman"/>
          <w:b/>
          <w:caps w:val="false"/>
          <w:smallCaps w:val="false"/>
          <w:sz w:val="20"/>
          <w:u w:val="single"/>
        </w:rPr>
        <w:t>Rule 424(b)</w:t>
      </w:r>
      <w:r>
        <w:rPr>
          <w:rFonts w:ascii="Times New Roman" w:hAnsi="Times New Roman"/>
          <w:caps w:val="false"/>
          <w:smallCaps w:val="false"/>
          <w:sz w:val="20"/>
        </w:rPr>
        <w:t>,” “</w:t>
      </w:r>
      <w:r>
        <w:rPr>
          <w:rFonts w:ascii="Times New Roman" w:hAnsi="Times New Roman"/>
          <w:b/>
          <w:caps w:val="false"/>
          <w:smallCaps w:val="false"/>
          <w:sz w:val="20"/>
          <w:u w:val="single"/>
        </w:rPr>
        <w:t>Rule 430B</w:t>
      </w:r>
      <w:r>
        <w:rPr>
          <w:rFonts w:ascii="Times New Roman" w:hAnsi="Times New Roman"/>
          <w:caps w:val="false"/>
          <w:smallCaps w:val="false"/>
          <w:sz w:val="20"/>
        </w:rPr>
        <w:t>,” and “</w:t>
      </w:r>
      <w:r>
        <w:rPr>
          <w:rFonts w:ascii="Times New Roman" w:hAnsi="Times New Roman"/>
          <w:b/>
          <w:caps w:val="false"/>
          <w:smallCaps w:val="false"/>
          <w:sz w:val="20"/>
          <w:u w:val="single"/>
        </w:rPr>
        <w:t>Rule 433</w:t>
      </w:r>
      <w:r>
        <w:rPr>
          <w:rFonts w:ascii="Times New Roman" w:hAnsi="Times New Roman"/>
          <w:caps w:val="false"/>
          <w:smallCaps w:val="false"/>
          <w:sz w:val="20"/>
        </w:rPr>
        <w:t>” refer to such rules under the Securities Act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 w:hAnsi="Times New Roman"/>
          <w:caps w:val="false"/>
          <w:smallCaps w:val="false"/>
          <w:sz w:val="20"/>
        </w:rPr>
      </w:pPr>
      <w:r>
        <w:rPr>
          <w:rFonts w:ascii="Times New Roman" w:hAnsi="Times New Roman"/>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i/>
          <w:caps w:val="false"/>
          <w:smallCaps w:val="false"/>
          <w:sz w:val="20"/>
        </w:rPr>
        <w:t>Signature Page Follows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60"/>
        <w:gridCol w:w="545"/>
        <w:gridCol w:w="3080"/>
      </w:tblGrid>
      <w:tr>
        <w:trPr/>
        <w:tc>
          <w:tcPr>
            <w:tcW w:w="60"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tc>
      </w:tr>
      <w:tr>
        <w:trPr/>
        <w:tc>
          <w:tcPr>
            <w:tcW w:w="60"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CASSAVA SCIENCES, INC.</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Richard J. Barry</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J. Barry</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784" w:type="dxa"/>
        <w:jc w:val="left"/>
        <w:tblInd w:w="0" w:type="dxa"/>
        <w:tblLayout w:type="fixed"/>
        <w:tblCellMar>
          <w:top w:w="0" w:type="dxa"/>
          <w:left w:w="0" w:type="dxa"/>
          <w:bottom w:w="0" w:type="dxa"/>
          <w:right w:w="0" w:type="dxa"/>
        </w:tblCellMar>
      </w:tblPr>
      <w:tblGrid>
        <w:gridCol w:w="60"/>
        <w:gridCol w:w="1005"/>
        <w:gridCol w:w="2719"/>
      </w:tblGrid>
      <w:tr>
        <w:trPr/>
        <w:tc>
          <w:tcPr>
            <w:tcW w:w="60"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ACCEPTED as of the date first-above written:</w:t>
            </w:r>
          </w:p>
        </w:tc>
      </w:tr>
      <w:tr>
        <w:trPr/>
        <w:tc>
          <w:tcPr>
            <w:tcW w:w="60"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2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CANTOR FITZGERALD &amp; CO.</w:t>
            </w:r>
          </w:p>
        </w:tc>
      </w:tr>
      <w:tr>
        <w:trPr/>
        <w:tc>
          <w:tcPr>
            <w:tcW w:w="6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271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7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Sameer Vasudev</w:t>
            </w:r>
          </w:p>
        </w:tc>
      </w:tr>
      <w:tr>
        <w:trPr/>
        <w:tc>
          <w:tcPr>
            <w:tcW w:w="6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tc>
        <w:tc>
          <w:tcPr>
            <w:tcW w:w="27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Sameer Vasudev</w:t>
            </w:r>
          </w:p>
        </w:tc>
      </w:tr>
      <w:tr>
        <w:trPr/>
        <w:tc>
          <w:tcPr>
            <w:tcW w:w="60"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7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0" w:type="dxa"/>
          <w:left w:w="0" w:type="dxa"/>
          <w:bottom w:w="0" w:type="dxa"/>
          <w:right w:w="0" w:type="dxa"/>
        </w:tblCellMar>
      </w:tblPr>
      <w:tblGrid>
        <w:gridCol w:w="60"/>
      </w:tblGrid>
      <w:tr>
        <w:trPr/>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Placement Notice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695"/>
        <w:gridCol w:w="1970"/>
      </w:tblGrid>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w:t>
            </w:r>
          </w:p>
        </w:tc>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Cassava Sciences, Inc.</w:t>
            </w:r>
          </w:p>
        </w:tc>
      </w:tr>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w:t>
            </w:r>
          </w:p>
        </w:tc>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Cantor Fitzgerald &amp; Co.</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w:t>
            </w:r>
          </w:p>
        </w:tc>
      </w:tr>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w:t>
            </w:r>
          </w:p>
        </w:tc>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Placement Notice</w:t>
            </w:r>
          </w:p>
        </w:tc>
      </w:tr>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202[●]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terms and subject to the conditions contained in the Sales Agreement between Cassava Sciences, Inc., a Delaware corporation (the “</w:t>
      </w:r>
      <w:r>
        <w:rPr>
          <w:rFonts w:ascii="Times New Roman" w:hAnsi="Times New Roman"/>
          <w:b/>
          <w:caps w:val="false"/>
          <w:smallCaps w:val="false"/>
          <w:sz w:val="20"/>
          <w:u w:val="single"/>
        </w:rPr>
        <w:t>Company</w:t>
      </w:r>
      <w:r>
        <w:rPr>
          <w:rFonts w:ascii="Times New Roman" w:hAnsi="Times New Roman"/>
          <w:caps w:val="false"/>
          <w:smallCaps w:val="false"/>
          <w:sz w:val="20"/>
        </w:rPr>
        <w:t>”), and Cantor Fitzgerald &amp; Co. (“</w:t>
      </w:r>
      <w:r>
        <w:rPr>
          <w:rFonts w:ascii="Times New Roman" w:hAnsi="Times New Roman"/>
          <w:b/>
          <w:caps w:val="false"/>
          <w:smallCaps w:val="false"/>
          <w:sz w:val="20"/>
          <w:u w:val="single"/>
        </w:rPr>
        <w:t>Agent</w:t>
      </w:r>
      <w:r>
        <w:rPr>
          <w:rFonts w:ascii="Times New Roman" w:hAnsi="Times New Roman"/>
          <w:caps w:val="false"/>
          <w:smallCaps w:val="false"/>
          <w:sz w:val="20"/>
        </w:rPr>
        <w:t>”), dated November [●], 2025, the Company hereby requests that the Agent sell up to [•] of the Company’s common stock, par value $0.001 per share, at a minimum market price of $[●] per share, during the time period beginning [month, day, time] and ending [month, day,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shall pay to the Agent in cash, upon each sale of Placement Shares pursuant to this Agreement, an amount up to 3.0% of the aggregate gross proceeds from each sale of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3</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Notice Parties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 Christopher Cook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Richard J. Barry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Eric Schoen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Sameer Vasudev (svasudev@cantor.com)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CFCEO@cantor.com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4</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to Exhibit 21 of the Company’s most recently filed Form 10-K,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Permitted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7" w:name="ex_895114.htm"/>
      <w:bookmarkStart w:id="38" w:name="ksex_895114"/>
      <w:bookmarkEnd w:id="37"/>
      <w:bookmarkEnd w:id="38"/>
      <w:r>
        <w:rPr>
          <w:rFonts w:ascii="Times New Roman;Times;serif" w:hAnsi="Times New Roman;Times;serif"/>
          <w:b/>
          <w:sz w:val="20"/>
        </w:rPr>
        <w:t>Exhibit 19.1</w:t>
      </w:r>
      <w:r>
        <w:br w:type="page"/>
      </w:r>
    </w:p>
    <w:p>
      <w:pPr>
        <w:pStyle w:val="TextBody"/>
        <w:bidi w:val="0"/>
        <w:spacing w:before="0" w:after="0"/>
        <w:ind w:left="0" w:right="0" w:hanging="0"/>
        <w:jc w:val="left"/>
        <w:rPr/>
      </w:pPr>
      <w:r>
        <w:rPr/>
        <w:t> </w:t>
      </w:r>
    </w:p>
    <w:p>
      <w:pPr>
        <w:pStyle w:val="TextBody"/>
        <w:bidi w:val="0"/>
        <w:ind w:left="0" w:right="0" w:hanging="0"/>
        <w:jc w:val="center"/>
        <w:rPr/>
      </w:pPr>
      <w:r>
        <w:rPr/>
        <w:drawing>
          <wp:inline distT="0" distB="0" distL="0" distR="0">
            <wp:extent cx="3581400" cy="1181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4"/>
                    <a:stretch>
                      <a:fillRect/>
                    </a:stretch>
                  </pic:blipFill>
                  <pic:spPr bwMode="auto">
                    <a:xfrm>
                      <a:off x="0" y="0"/>
                      <a:ext cx="3581400" cy="1181100"/>
                    </a:xfrm>
                    <a:prstGeom prst="rect">
                      <a:avLst/>
                    </a:prstGeom>
                  </pic:spPr>
                </pic:pic>
              </a:graphicData>
            </a:graphic>
          </wp:inline>
        </w:drawing>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INSIDER TRADING POLICY</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215"/>
        <w:gridCol w:w="144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 </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Federal securities laws prohibit the purchase or sale of securities by persons who are aware of material nonpublic information about a company, as well as the disclosure of material, nonpublic information about a company to others who then trade in the company’s securities. These transactions are commonly known as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Insider trading violations are heavily pursued by the Securities and Exchange Commission and the U.S. Attorney Offices and are punished.  While the regulatory authorities concentrate their efforts on individuals who trade, or who provide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Filana Therapeutics, Inc. (“Filana” or “we”) has adopted this Insider Trading Policy (the “Policy”) both to satisfy Filana’s obligation to prevent insider trading and to help Filana personnel avoid the consequences associated with violations of the insider trading laws.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is also intended to prevent even the appearance of improper conduct on the part of anyone employed by or associated with Filana, not just so-called “insiders.”  Everyone within Filana works very hard to establish Filana as a company known for integrity and ethical conduct, and Filana cannot afford to have that reputation damaged.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70"/>
        <w:gridCol w:w="144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Persons Covered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refers to an “insider” and we wish to define it herein.  Insiders of Filana are defined as (a) members of our Board of Directors, corporate officers and employees; (b) consultants to Filana or other persons associated with Filana who may, in the course of their work with Filana, receive access to confidential, material non-public information; and (c) household and immediate family members of those listed in (a) and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170"/>
        <w:gridCol w:w="9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w:t>
            </w:r>
          </w:p>
        </w:tc>
        <w:tc>
          <w:tcPr>
            <w:tcW w:w="9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Material non-public information</w:t>
      </w:r>
      <w:r>
        <w:rPr>
          <w:rFonts w:ascii="Times New Roman" w:hAnsi="Times New Roman"/>
          <w:caps w:val="false"/>
          <w:smallCaps w:val="false"/>
          <w:sz w:val="20"/>
        </w:rPr>
        <w:t>:  Material non-public information is defined to be information that is not known to persons outside Filana that could be relied upon or considered significant if a reasonable investor would likely consider it important in making a decision to buy, sell or hold Filana securities.  It is currently very difficult to define each and every category under this heading.  However, information that should always be considered material, sensitive and non-public includes but is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60"/>
        <w:gridCol w:w="170"/>
        <w:gridCol w:w="6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updates (</w:t>
            </w:r>
            <w:r>
              <w:rPr>
                <w:rFonts w:ascii="Times New Roman;Times;serif" w:hAnsi="Times New Roman;Times;serif"/>
                <w:b/>
                <w:caps w:val="false"/>
                <w:smallCaps w:val="false"/>
                <w:sz w:val="20"/>
              </w:rPr>
              <w:t>specifically, the status of Full Clinical Hold with FDA)</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Times;serif" w:hAnsi="Times New Roman;Times;serif"/>
          <w:sz w:val="22"/>
        </w:rPr>
      </w:pPr>
      <w:r>
        <w:rPr>
          <w:rFonts w:ascii="Times New Roman;Times;serif" w:hAnsi="Times New Roman;Times;serif"/>
          <w:sz w:val="22"/>
        </w:rPr>
        <w:t>INSIDER TRADING POLICY</w:t>
      </w:r>
    </w:p>
    <w:p>
      <w:pPr>
        <w:pStyle w:val="TextBody"/>
        <w:bidi w:val="0"/>
        <w:spacing w:before="0" w:after="0"/>
        <w:ind w:left="0" w:right="0" w:hanging="0"/>
        <w:jc w:val="left"/>
        <w:rPr/>
      </w:pPr>
      <w:r>
        <w:rPr/>
        <w:t> </w:t>
      </w:r>
    </w:p>
    <w:tbl>
      <w:tblPr>
        <w:tblW w:w="2620" w:type="dxa"/>
        <w:jc w:val="left"/>
        <w:tblInd w:w="0" w:type="dxa"/>
        <w:tblLayout w:type="fixed"/>
        <w:tblCellMar>
          <w:top w:w="0" w:type="dxa"/>
          <w:left w:w="0" w:type="dxa"/>
          <w:bottom w:w="0" w:type="dxa"/>
          <w:right w:w="0" w:type="dxa"/>
        </w:tblCellMar>
      </w:tblPr>
      <w:tblGrid>
        <w:gridCol w:w="60"/>
        <w:gridCol w:w="170"/>
        <w:gridCol w:w="2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3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data, even if blinded</w:t>
            </w:r>
          </w:p>
        </w:tc>
      </w:tr>
    </w:tbl>
    <w:tbl>
      <w:tblPr>
        <w:tblW w:w="1585" w:type="dxa"/>
        <w:jc w:val="left"/>
        <w:tblInd w:w="0" w:type="dxa"/>
        <w:tblLayout w:type="fixed"/>
        <w:tblCellMar>
          <w:top w:w="0" w:type="dxa"/>
          <w:left w:w="0" w:type="dxa"/>
          <w:bottom w:w="0" w:type="dxa"/>
          <w:right w:w="0" w:type="dxa"/>
        </w:tblCellMar>
      </w:tblPr>
      <w:tblGrid>
        <w:gridCol w:w="60"/>
        <w:gridCol w:w="170"/>
        <w:gridCol w:w="1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3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results</w:t>
            </w:r>
          </w:p>
        </w:tc>
      </w:tr>
    </w:tbl>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News of a pending or proposed sale, merger or acquisition</w:t>
            </w:r>
          </w:p>
        </w:tc>
      </w:tr>
    </w:tbl>
    <w:tbl>
      <w:tblPr>
        <w:tblW w:w="4015" w:type="dxa"/>
        <w:jc w:val="left"/>
        <w:tblInd w:w="0" w:type="dxa"/>
        <w:tblLayout w:type="fixed"/>
        <w:tblCellMar>
          <w:top w:w="0" w:type="dxa"/>
          <w:left w:w="0" w:type="dxa"/>
          <w:bottom w:w="0" w:type="dxa"/>
          <w:right w:w="0" w:type="dxa"/>
        </w:tblCellMar>
      </w:tblPr>
      <w:tblGrid>
        <w:gridCol w:w="60"/>
        <w:gridCol w:w="170"/>
        <w:gridCol w:w="3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relating to intellectual property</w:t>
            </w:r>
          </w:p>
        </w:tc>
      </w:tr>
    </w:tbl>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Scientific achievements or other developments from research efforts</w:t>
            </w:r>
          </w:p>
        </w:tc>
      </w:tr>
    </w:tbl>
    <w:tbl>
      <w:tblPr>
        <w:tblW w:w="4300" w:type="dxa"/>
        <w:jc w:val="left"/>
        <w:tblInd w:w="0" w:type="dxa"/>
        <w:tblLayout w:type="fixed"/>
        <w:tblCellMar>
          <w:top w:w="0" w:type="dxa"/>
          <w:left w:w="0" w:type="dxa"/>
          <w:bottom w:w="0" w:type="dxa"/>
          <w:right w:w="0" w:type="dxa"/>
        </w:tblCellMar>
      </w:tblPr>
      <w:tblGrid>
        <w:gridCol w:w="60"/>
        <w:gridCol w:w="170"/>
        <w:gridCol w:w="4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0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senior management or Board members</w:t>
            </w:r>
          </w:p>
        </w:tc>
      </w:tr>
    </w:tbl>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Contracts or research grant applications in a pending status or in discussion</w:t>
            </w:r>
          </w:p>
        </w:tc>
      </w:tr>
    </w:tbl>
    <w:tbl>
      <w:tblPr>
        <w:tblW w:w="6310" w:type="dxa"/>
        <w:jc w:val="left"/>
        <w:tblInd w:w="0" w:type="dxa"/>
        <w:tblLayout w:type="fixed"/>
        <w:tblCellMar>
          <w:top w:w="0" w:type="dxa"/>
          <w:left w:w="0" w:type="dxa"/>
          <w:bottom w:w="0" w:type="dxa"/>
          <w:right w:w="0" w:type="dxa"/>
        </w:tblCellMar>
      </w:tblPr>
      <w:tblGrid>
        <w:gridCol w:w="60"/>
        <w:gridCol w:w="170"/>
        <w:gridCol w:w="6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Developments in litigation or government investigations or other inquiries</w:t>
            </w:r>
          </w:p>
        </w:tc>
      </w:tr>
    </w:tbl>
    <w:tbl>
      <w:tblPr>
        <w:tblW w:w="4345" w:type="dxa"/>
        <w:jc w:val="left"/>
        <w:tblInd w:w="0" w:type="dxa"/>
        <w:tblLayout w:type="fixed"/>
        <w:tblCellMar>
          <w:top w:w="0" w:type="dxa"/>
          <w:left w:w="0" w:type="dxa"/>
          <w:bottom w:w="0" w:type="dxa"/>
          <w:right w:w="0" w:type="dxa"/>
        </w:tblCellMar>
      </w:tblPr>
      <w:tblGrid>
        <w:gridCol w:w="60"/>
        <w:gridCol w:w="170"/>
        <w:gridCol w:w="4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Proposed debt or equity offerings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Remember</w:t>
      </w:r>
      <w:r>
        <w:rPr>
          <w:rFonts w:ascii="Times New Roman" w:hAnsi="Times New Roman"/>
          <w:b/>
          <w:caps w:val="false"/>
          <w:smallCaps w:val="false"/>
          <w:sz w:val="20"/>
        </w:rPr>
        <w:t xml:space="preserve">, anyone who is reviewing your securities transactions will be doing so after the fact, with the benefit of hindsight. </w:t>
      </w:r>
      <w:r>
        <w:rPr>
          <w:rFonts w:ascii="Times New Roman" w:hAnsi="Times New Roman"/>
          <w:caps w:val="false"/>
          <w:smallCaps w:val="false"/>
          <w:sz w:val="20"/>
        </w:rPr>
        <w:t> </w:t>
      </w:r>
      <w:r>
        <w:rPr>
          <w:rFonts w:ascii="Times New Roman" w:hAnsi="Times New Roman"/>
          <w:b/>
          <w:caps w:val="false"/>
          <w:smallCaps w:val="false"/>
          <w:sz w:val="20"/>
        </w:rPr>
        <w:t>As such, before engaging in any transaction, you should carefully consider how the others might view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Securities</w:t>
      </w:r>
      <w:r>
        <w:rPr>
          <w:rFonts w:ascii="Times New Roman" w:hAnsi="Times New Roman"/>
          <w:caps w:val="false"/>
          <w:smallCaps w:val="false"/>
          <w:sz w:val="20"/>
        </w:rPr>
        <w:t>:  Securities of Filana are defined as common stock, preferred stock, options to purchase stock, warrants, convertible debt and/or derivative securities.</w:t>
      </w:r>
    </w:p>
    <w:p>
      <w:pPr>
        <w:pStyle w:val="TextBody"/>
        <w:bidi w:val="0"/>
        <w:spacing w:before="0" w:after="0"/>
        <w:ind w:left="0" w:right="0" w:hanging="0"/>
        <w:jc w:val="left"/>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170"/>
        <w:gridCol w:w="56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4.</w:t>
            </w:r>
          </w:p>
        </w:tc>
        <w:tc>
          <w:tcPr>
            <w:tcW w:w="5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insider may buy or sell Filana securities at any time when they are aware of any material non-public information relating to Filana, regardless of the source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insider may buy or sell securities of another company at any time when they are aware of material non-public information about that company, including, without limitation, any company that we conduct ordinary business with, such as vendors or suppliers, when that information is obtained during the course of his/her employment with Filana.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insider may disclose material non-public information to third parties or to any other person (“tipping”), including family members, or make investment recommendations or express investment opinions based on material non-public information, regardless of whether you profit or intend to profit by the practice of tipping. Tipping violates securities laws and can result in the same civil or criminal penalties that apply to insider trading, even though you did not trade, profit or gain any benefit from another person’s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insider who receives or has access to material non-public information may comment on the stock price movement or rumors of other corporate developments that are of possible significance to the investing public, unless it is part of his/her job description (e.g., Investor Relations) or you have been specifically pre-authorized to do so by the CEO, CFO or Chief Operating &amp; Legal Officer (COLO) of Filana in each instance.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written or verbal statement that would be prohibited under the law or under this Insider Trading Policy is equally prohibited if made on electronic bulletin boards, chat rooms, blogs, websites or any other form of social media, including the disclosure of material non-public information about the Company or material non-public information with respect to other companies that you come into possession of as an employee or associate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If you comment on stock price movement or rumors and/or disclose material non-public information, </w:t>
      </w:r>
      <w:r>
        <w:rPr>
          <w:rFonts w:ascii="Times New Roman" w:hAnsi="Times New Roman"/>
          <w:b/>
          <w:caps w:val="false"/>
          <w:smallCaps w:val="false"/>
          <w:sz w:val="20"/>
        </w:rPr>
        <w:t>even if inadvertently</w:t>
      </w:r>
      <w:r>
        <w:rPr>
          <w:rFonts w:ascii="Times New Roman" w:hAnsi="Times New Roman"/>
          <w:caps w:val="false"/>
          <w:smallCaps w:val="false"/>
          <w:sz w:val="20"/>
        </w:rPr>
        <w:t>, you must immediately contact the CEO, CFO or COLO of Filana.</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2 of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Times;serif" w:hAnsi="Times New Roman;Times;serif"/>
          <w:sz w:val="22"/>
        </w:rPr>
      </w:pPr>
      <w:r>
        <w:rPr>
          <w:rFonts w:ascii="Times New Roman;Times;serif" w:hAnsi="Times New Roman;Times;serif"/>
          <w:sz w:val="22"/>
        </w:rPr>
        <w:t>INSIDER TRADING POLICY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continues in effect after termination of employment or other relationship with Filana until such time as the insider is no longer in possession of material non-public information.</w:t>
      </w:r>
    </w:p>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170"/>
        <w:gridCol w:w="119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5.</w:t>
            </w:r>
          </w:p>
        </w:tc>
        <w:tc>
          <w:tcPr>
            <w:tcW w:w="11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w:t>
            </w:r>
            <w:r>
              <w:rPr>
                <w:rFonts w:ascii="Times New Roman;Times;serif" w:hAnsi="Times New Roman;Times;serif"/>
                <w:b/>
                <w:sz w:val="20"/>
              </w:rPr>
              <w:t xml:space="preserve">pecial Rules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 concern or question relating to your status within Filana (insider or not, etc.) should arise, please contact the CEO, CFO or GC of Filana.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addition to the restrictions related to the trading of Filana securities as defined in Section 4 above, </w:t>
      </w:r>
      <w:r>
        <w:rPr>
          <w:rFonts w:ascii="Times New Roman" w:hAnsi="Times New Roman"/>
          <w:b/>
          <w:caps w:val="false"/>
          <w:smallCaps w:val="false"/>
          <w:sz w:val="20"/>
        </w:rPr>
        <w:t xml:space="preserve">insiders shall not purchase or sell any Filana securities, or cause others to do so, except after first consulting with and obtaining </w:t>
      </w:r>
      <w:r>
        <w:rPr>
          <w:rFonts w:ascii="Times New Roman" w:hAnsi="Times New Roman"/>
          <w:b/>
          <w:caps w:val="false"/>
          <w:smallCaps w:val="false"/>
          <w:sz w:val="20"/>
          <w:u w:val="single"/>
        </w:rPr>
        <w:t>written pre-clearance for each such transaction</w:t>
      </w:r>
      <w:r>
        <w:rPr>
          <w:rFonts w:ascii="Times New Roman" w:hAnsi="Times New Roman"/>
          <w:caps w:val="false"/>
          <w:smallCaps w:val="false"/>
          <w:sz w:val="20"/>
        </w:rPr>
        <w:t xml:space="preserve"> </w:t>
      </w:r>
      <w:r>
        <w:rPr>
          <w:rFonts w:ascii="Times New Roman" w:hAnsi="Times New Roman"/>
          <w:b/>
          <w:caps w:val="false"/>
          <w:smallCaps w:val="false"/>
          <w:sz w:val="20"/>
        </w:rPr>
        <w:t>with Filana</w:t>
      </w:r>
      <w:r>
        <w:rPr>
          <w:rFonts w:ascii="Times New Roman" w:hAnsi="Times New Roman"/>
          <w:caps w:val="false"/>
          <w:smallCaps w:val="false"/>
          <w:sz w:val="20"/>
        </w:rPr>
        <w:t>’</w:t>
      </w:r>
      <w:r>
        <w:rPr>
          <w:rFonts w:ascii="Times New Roman" w:hAnsi="Times New Roman"/>
          <w:b/>
          <w:caps w:val="false"/>
          <w:smallCaps w:val="false"/>
          <w:sz w:val="20"/>
        </w:rPr>
        <w:t>s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restrictions related to the trading of Filana securities as defined in Section 4 above, insiders shall not engage in short sales of Filana securities or hedging transactions, nor buy or sell put options, call options or other derivatives of Filana’s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restriction related to the trading of Filana securities as defined in Section 4 above does not apply to the exercise of stock options for cash under any equity or stock option plan (but </w:t>
      </w:r>
      <w:r>
        <w:rPr>
          <w:rFonts w:ascii="Times New Roman" w:hAnsi="Times New Roman"/>
          <w:b/>
          <w:i/>
          <w:caps w:val="false"/>
          <w:smallCaps w:val="false"/>
          <w:sz w:val="20"/>
        </w:rPr>
        <w:t>not</w:t>
      </w:r>
      <w:r>
        <w:rPr>
          <w:rFonts w:ascii="Times New Roman" w:hAnsi="Times New Roman"/>
          <w:caps w:val="false"/>
          <w:smallCaps w:val="false"/>
          <w:sz w:val="20"/>
        </w:rPr>
        <w:t xml:space="preserve"> the sale of such shares), since the market price does not affect the exercise price stated in the agreement.</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70"/>
        <w:gridCol w:w="230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6.</w:t>
            </w:r>
          </w:p>
        </w:tc>
        <w:tc>
          <w:tcPr>
            <w:tcW w:w="23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Rule 10b5-1 Trading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 xml:space="preserve">In 2023, the SEC significantly expanded compliance rules and Company disclosure requirements for Rule 10b5-1 trading plans. Please see the Compliance Officer for more information on Rule 10b5-1 trading plans. Such plans may only be entered into during an open trading window and require the </w:t>
      </w:r>
      <w:r>
        <w:rPr>
          <w:rFonts w:ascii="Times New Roman" w:hAnsi="Times New Roman"/>
          <w:caps w:val="false"/>
          <w:smallCaps w:val="false"/>
          <w:sz w:val="20"/>
          <w:u w:val="single"/>
        </w:rPr>
        <w:t>written pre-clearance</w:t>
      </w:r>
      <w:r>
        <w:rPr>
          <w:rFonts w:ascii="Times New Roman" w:hAnsi="Times New Roman"/>
          <w:caps w:val="false"/>
          <w:smallCaps w:val="false"/>
          <w:sz w:val="20"/>
        </w:rPr>
        <w:t xml:space="preserve"> from Filana’s CFO prior to entering into such a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70"/>
        <w:gridCol w:w="579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7.</w:t>
            </w:r>
          </w:p>
        </w:tc>
        <w:tc>
          <w:tcPr>
            <w:tcW w:w="57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Potential Criminal and/or Civil Liability and/or Disciplinary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does not and cannot comprehensively describe all potential circumstances relating to insider trading and the laws that apply to the purchase or sale of securities by individual investors, including Filana employees.  Each individual is responsible for his or her own decisions and must exercise appropriate judgment when buying and selling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Insiders found liable for insider trading may be subject to criminal penalties of up to $5,000,000 and up to twenty (20) years in prison for trading of securities based on material non-public information. In addition, insiders may also be liable for transactions conducted improperly by any person to whom they have disclosed the material non-public information. The Securities and Exchange Commission has imposed large penalties even when the disclosing person did not profit, directly or indirectly, from the trade(s). There are also civil penalties of up to three times the profit gained, or loss avoided, that may be imposed.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Personnel who are implicated in insider trading by Federal authorities will need to engage their own attorneys and other professionals to defend or assist them, at their own expense. Legal fees and expenses associated with the investigation, preparation, defense and settlement of insider trading cases can be substantial.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any personnel who violate this Policy will be subject to disciplinary action as outlined in the Employee Handbook, up to and including immediate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3 of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Times;serif" w:hAnsi="Times New Roman;Times;serif"/>
          <w:sz w:val="22"/>
        </w:rPr>
      </w:pPr>
      <w:r>
        <w:rPr>
          <w:rFonts w:ascii="Times New Roman;Times;serif" w:hAnsi="Times New Roman;Times;serif"/>
          <w:sz w:val="22"/>
        </w:rPr>
        <w:t>INSIDER TRADING POLICY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Policy, Eric Schoen shall be designated as the “Chief Compliance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communications of every kind hereunder shall be in writing or shall be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4 of 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Times;serif" w:hAnsi="Times New Roman;Times;serif"/>
          <w:sz w:val="22"/>
        </w:rPr>
      </w:pPr>
      <w:r>
        <w:rPr>
          <w:rFonts w:ascii="Times New Roman;Times;serif" w:hAnsi="Times New Roman;Times;serif"/>
          <w:sz w:val="22"/>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ACKNOWLEDGMENT CONCERNING 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 ____________________ (print name) acknowledge that I have read and understand the Insider Trading Policy of Filana Sciences, Inc. and that I agree to abide by the provisions stated therein. </w:t>
      </w:r>
      <w:r>
        <w:rPr>
          <w:rFonts w:ascii="Times New Roman" w:hAnsi="Times New Roman"/>
          <w:caps w:val="false"/>
          <w:smallCaps w:val="false"/>
          <w:sz w:val="20"/>
        </w:rPr>
        <w:t> </w:t>
      </w:r>
      <w:r>
        <w:rPr>
          <w:rFonts w:ascii="Times New Roman" w:hAnsi="Times New Roman"/>
          <w:b/>
          <w:caps w:val="false"/>
          <w:smallCaps w:val="false"/>
          <w:sz w:val="20"/>
        </w:rPr>
        <w:t>I further certify that I understand that failure to adhere to these rules may result in serious consequences with Federal authorities and in immediate termination of my employment with Filana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Dated this ____ day of _________2026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 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Page 5 of 5</w:t>
      </w:r>
    </w:p>
    <w:p>
      <w:pPr>
        <w:pStyle w:val="TextBody"/>
        <w:bidi w:val="0"/>
        <w:spacing w:before="0" w:after="0"/>
        <w:ind w:left="1600" w:right="0" w:hanging="0"/>
        <w:jc w:val="right"/>
        <w:rPr>
          <w:rFonts w:ascii="Times New Roman" w:hAnsi="Times New Roman"/>
          <w:b/>
          <w:caps w:val="false"/>
          <w:smallCaps w:val="false"/>
          <w:sz w:val="20"/>
        </w:rPr>
      </w:pPr>
      <w:bookmarkStart w:id="39" w:name="ex_895115.htm"/>
      <w:bookmarkStart w:id="40" w:name="ksex_895115"/>
      <w:bookmarkEnd w:id="39"/>
      <w:bookmarkEnd w:id="40"/>
      <w:r>
        <w:rPr>
          <w:rFonts w:ascii="Times New Roman" w:hAnsi="Times New Roman"/>
          <w:b/>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Filana Therapeutics, Inc. Subsidiaries</w:t>
      </w:r>
    </w:p>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28" w:type="dxa"/>
          <w:left w:w="28" w:type="dxa"/>
          <w:bottom w:w="28" w:type="dxa"/>
          <w:right w:w="0" w:type="dxa"/>
        </w:tblCellMar>
      </w:tblPr>
      <w:tblGrid>
        <w:gridCol w:w="2390"/>
        <w:gridCol w:w="3440"/>
      </w:tblGrid>
      <w:tr>
        <w:trPr/>
        <w:tc>
          <w:tcPr>
            <w:tcW w:w="239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Subsidiary</w:t>
            </w:r>
          </w:p>
        </w:tc>
        <w:tc>
          <w:tcPr>
            <w:tcW w:w="344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State/Country of Incorporation/Formation</w:t>
            </w:r>
          </w:p>
        </w:tc>
      </w:tr>
      <w:tr>
        <w:trPr/>
        <w:tc>
          <w:tcPr>
            <w:tcW w:w="2390" w:type="dxa"/>
            <w:tcBorders>
              <w:left w:val="single" w:sz="2" w:space="0" w:color="000000"/>
              <w:bottom w:val="single" w:sz="2" w:space="0" w:color="000000"/>
            </w:tcBorders>
            <w:tcMar>
              <w:top w:w="0" w:type="dxa"/>
            </w:tcMar>
            <w:vAlign w:val="center"/>
          </w:tcPr>
          <w:p>
            <w:pPr>
              <w:pStyle w:val="TableContents"/>
              <w:bidi w:val="0"/>
              <w:spacing w:before="0" w:after="283"/>
              <w:jc w:val="left"/>
              <w:rPr/>
            </w:pPr>
            <w:r>
              <w:rPr/>
              <w:t> </w:t>
            </w:r>
          </w:p>
        </w:tc>
        <w:tc>
          <w:tcPr>
            <w:tcW w:w="344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283"/>
              <w:jc w:val="left"/>
              <w:rPr/>
            </w:pPr>
            <w:r>
              <w:rPr/>
              <w:t> </w:t>
            </w:r>
          </w:p>
        </w:tc>
      </w:tr>
      <w:tr>
        <w:trPr/>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Austin Innovation Park, LLC</w:t>
            </w:r>
          </w:p>
        </w:tc>
        <w:tc>
          <w:tcPr>
            <w:tcW w:w="344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Texas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41" w:name="ex_895116.htm"/>
      <w:bookmarkStart w:id="42" w:name="ksex_895116"/>
      <w:bookmarkEnd w:id="41"/>
      <w:bookmarkEnd w:id="42"/>
      <w:r>
        <w:rPr>
          <w:caps w:val="false"/>
          <w:smallCaps w:val="false"/>
        </w:rPr>
        <w:t> </w:t>
      </w:r>
      <w:r>
        <w:br w:type="page"/>
      </w:r>
    </w:p>
    <w:p>
      <w:pPr>
        <w:pStyle w:val="TextBody"/>
        <w:bidi w:val="0"/>
        <w:spacing w:before="0" w:after="0"/>
        <w:ind w:left="1080" w:right="0" w:hanging="360"/>
        <w:jc w:val="right"/>
        <w:rPr>
          <w:rFonts w:ascii="Times New Roman" w:hAnsi="Times New Roman"/>
          <w:b/>
          <w:caps w:val="false"/>
          <w:smallCaps w:val="false"/>
          <w:sz w:val="20"/>
        </w:rPr>
      </w:pPr>
      <w:r>
        <w:rPr>
          <w:rFonts w:ascii="Times New Roman" w:hAnsi="Times New Roman"/>
          <w:b/>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following Registration Statements:           </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60"/>
        <w:gridCol w:w="185"/>
        <w:gridCol w:w="716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Statement (Form S-3 No. 333-291489) and related Prospectus of Registrant,</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60"/>
        <w:gridCol w:w="185"/>
        <w:gridCol w:w="915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Statement (Form S-8 No. 333-265540) pertaining to the 2018 Omnibus Incentive Plan of Registrant,</w:t>
            </w:r>
          </w:p>
        </w:tc>
      </w:tr>
    </w:tbl>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60"/>
        <w:gridCol w:w="185"/>
        <w:gridCol w:w="971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Statement (Form S-8 No. 333-168390) pertaining to the 2000 Employee Stock Purchase Plan of Registrant,</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60"/>
        <w:gridCol w:w="185"/>
        <w:gridCol w:w="915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Statement (Form S-8 No. 333-225708) pertaining to the 2018 Omnibus Incentive Plan of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Statement (Form S-8 No. 333-147336) pertaining to the 2000 Employee Stock Purchase Plan of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60"/>
        <w:gridCol w:w="185"/>
        <w:gridCol w:w="899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Statement (Form S-8 No. 333-152676) pertaining to the 2008 Equity Incentive Plan of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our report dated March 12, 2026, with respect to the consolidated financial statements of Filana Therapeutics, Inc. (formerly known as “Cassava Sciences, Inc.”) included in this Annual Report (Form 10-K) of Filana Therapeutics,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Austin,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0" w:right="0" w:hanging="0"/>
        <w:jc w:val="right"/>
        <w:rPr>
          <w:rFonts w:ascii="Times New Roman" w:hAnsi="Times New Roman"/>
          <w:caps w:val="false"/>
          <w:smallCaps w:val="false"/>
          <w:sz w:val="20"/>
        </w:rPr>
      </w:pPr>
      <w:bookmarkStart w:id="43" w:name="ex_895117.htm"/>
      <w:bookmarkStart w:id="44" w:name="ksex_895117"/>
      <w:bookmarkEnd w:id="43"/>
      <w:bookmarkEnd w:id="44"/>
      <w:r>
        <w:rPr>
          <w:rFonts w:ascii="Times New Roman" w:hAnsi="Times New Roman"/>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 CERTIFICATION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Richard Barry, certify that:</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60"/>
        <w:gridCol w:w="170"/>
        <w:gridCol w:w="6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Filana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60"/>
        <w:gridCol w:w="3620"/>
      </w:tblGrid>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u w:val="single"/>
              </w:rPr>
            </w:pPr>
            <w:r>
              <w:rPr>
                <w:u w:val="single"/>
              </w:rPr>
              <w:t>/s/ RICHARD J. BARRY</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Richard J. Barry,</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President and Chief Executive Officer</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(Principal Executive Officer)</w:t>
            </w:r>
          </w:p>
        </w:tc>
      </w:tr>
    </w:tbl>
    <w:p>
      <w:pPr>
        <w:pStyle w:val="TextBody"/>
        <w:bidi w:val="0"/>
        <w:spacing w:before="0" w:after="0"/>
        <w:ind w:left="70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March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0" w:right="0" w:hanging="0"/>
        <w:jc w:val="right"/>
        <w:rPr>
          <w:rFonts w:ascii="Times New Roman" w:hAnsi="Times New Roman"/>
          <w:caps w:val="false"/>
          <w:smallCaps w:val="false"/>
          <w:sz w:val="20"/>
        </w:rPr>
      </w:pPr>
      <w:bookmarkStart w:id="45" w:name="ex_895118.htm"/>
      <w:bookmarkStart w:id="46" w:name="ksex_895118"/>
      <w:bookmarkEnd w:id="45"/>
      <w:bookmarkEnd w:id="46"/>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OFFICER CERTIFICATION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Eric J. Schoen, certify that:</w:t>
      </w:r>
    </w:p>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60"/>
        <w:gridCol w:w="170"/>
        <w:gridCol w:w="6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Filana Therapeutics,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735" w:type="dxa"/>
        <w:jc w:val="left"/>
        <w:tblInd w:w="0" w:type="dxa"/>
        <w:tblLayout w:type="fixed"/>
        <w:tblCellMar>
          <w:top w:w="0" w:type="dxa"/>
          <w:left w:w="0" w:type="dxa"/>
          <w:bottom w:w="0" w:type="dxa"/>
          <w:right w:w="0" w:type="dxa"/>
        </w:tblCellMar>
      </w:tblPr>
      <w:tblGrid>
        <w:gridCol w:w="60"/>
        <w:gridCol w:w="2675"/>
      </w:tblGrid>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u w:val="single"/>
              </w:rPr>
            </w:pPr>
            <w:r>
              <w:rPr>
                <w:u w:val="single"/>
              </w:rPr>
              <w:t>/s/ ERIC J. SCHOEN</w:t>
            </w:r>
          </w:p>
        </w:tc>
      </w:tr>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Eric J. Schoen,</w:t>
            </w:r>
          </w:p>
        </w:tc>
      </w:tr>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Chief Financial Officer</w:t>
            </w:r>
          </w:p>
        </w:tc>
      </w:tr>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March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9520" w:right="0" w:hanging="0"/>
        <w:jc w:val="right"/>
        <w:rPr>
          <w:rFonts w:ascii="Times New Roman" w:hAnsi="Times New Roman"/>
          <w:caps w:val="false"/>
          <w:smallCaps w:val="false"/>
          <w:sz w:val="20"/>
        </w:rPr>
      </w:pPr>
      <w:bookmarkStart w:id="47" w:name="ex_895119.htm"/>
      <w:bookmarkStart w:id="48" w:name="ksex_895119"/>
      <w:bookmarkEnd w:id="47"/>
      <w:bookmarkEnd w:id="48"/>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 OF THE CHIEF EXECUTIVE OFFICER AND THE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 PURSUANT TO 18 U.S.C. SECTION 1350,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each of the undersigned officers of Filana Therapeutics, Inc. (the “Company”), hereby certifies that to the best of such officer’s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Annual Report on Form 10-K for the fiscal year ended December 31, 2025, and to which this certification is attached as Exhibit 32.1 (the “Periodic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this Periodic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60"/>
        <w:gridCol w:w="3620"/>
      </w:tblGrid>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Date: March 12, 2026</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u w:val="single"/>
              </w:rPr>
              <w:t>/s/ RICHARD J. BARRY</w:t>
            </w:r>
            <w:r>
              <w:rPr/>
              <w:t> </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Richard J. Barry,</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President and Chief Executive Officer</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u w:val="single"/>
              </w:rPr>
              <w:t>/s/ ERIC J. SCHOEN</w:t>
            </w:r>
            <w:r>
              <w:rPr/>
              <w:t> </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Eric J. Schoen,</w:t>
            </w:r>
          </w:p>
        </w:tc>
      </w:tr>
      <w:tr>
        <w:trPr/>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left"/>
        <w:rPr/>
      </w:pPr>
      <w:bookmarkStart w:id="49" w:name="ex_895120.htm"/>
      <w:bookmarkStart w:id="50" w:name="ksex_895120"/>
      <w:bookmarkEnd w:id="49"/>
      <w:bookmarkEnd w:id="50"/>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97</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3581400" cy="1181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5"/>
                    <a:stretch>
                      <a:fillRect/>
                    </a:stretch>
                  </pic:blipFill>
                  <pic:spPr bwMode="auto">
                    <a:xfrm>
                      <a:off x="0" y="0"/>
                      <a:ext cx="3581400" cy="1181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smallCaps/>
          <w:sz w:val="20"/>
        </w:rPr>
        <w:t>Policy Regarding Recovery of Erroneously Awarded Compensation</w:t>
        <w:br/>
      </w:r>
      <w:r>
        <w:rPr>
          <w:rFonts w:ascii="Times New Roman" w:hAnsi="Times New Roman"/>
          <w:b/>
          <w:smallCaps/>
          <w:sz w:val="20"/>
        </w:rPr>
        <w:t>Effective October 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Regarding Recovery of Erroneously Awarded Compensation (the “</w:t>
      </w:r>
      <w:r>
        <w:rPr>
          <w:rFonts w:ascii="Times New Roman" w:hAnsi="Times New Roman"/>
          <w:b/>
          <w:i/>
          <w:caps w:val="false"/>
          <w:smallCaps w:val="false"/>
          <w:sz w:val="20"/>
        </w:rPr>
        <w:t>Policy</w:t>
      </w:r>
      <w:r>
        <w:rPr>
          <w:rFonts w:ascii="Times New Roman" w:hAnsi="Times New Roman"/>
          <w:caps w:val="false"/>
          <w:smallCaps w:val="false"/>
          <w:sz w:val="20"/>
        </w:rPr>
        <w:t>”) is established by Filana Therapeutics, Inc. (the “</w:t>
      </w:r>
      <w:r>
        <w:rPr>
          <w:rFonts w:ascii="Times New Roman" w:hAnsi="Times New Roman"/>
          <w:b/>
          <w:i/>
          <w:caps w:val="false"/>
          <w:smallCaps w:val="false"/>
          <w:sz w:val="20"/>
        </w:rPr>
        <w:t>Company</w:t>
      </w:r>
      <w:r>
        <w:rPr>
          <w:rFonts w:ascii="Times New Roman" w:hAnsi="Times New Roman"/>
          <w:caps w:val="false"/>
          <w:smallCaps w:val="false"/>
          <w:sz w:val="20"/>
        </w:rPr>
        <w:t>”), a Delaware corporation, effective as of October 2, 2023 (the “</w:t>
      </w:r>
      <w:r>
        <w:rPr>
          <w:rFonts w:ascii="Times New Roman" w:hAnsi="Times New Roman"/>
          <w:b/>
          <w:i/>
          <w:caps w:val="false"/>
          <w:smallCaps w:val="false"/>
          <w:sz w:val="20"/>
        </w:rPr>
        <w:t>Effective Date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 </w:t>
      </w:r>
      <w:r>
        <w:rPr>
          <w:rFonts w:ascii="Times New Roman" w:hAnsi="Times New Roman"/>
          <w:caps w:val="false"/>
          <w:smallCaps w:val="false"/>
          <w:sz w:val="20"/>
        </w:rPr>
        <w:t>         </w:t>
      </w:r>
      <w:r>
        <w:rPr>
          <w:rFonts w:ascii="Times New Roman" w:hAnsi="Times New Roman"/>
          <w:b/>
          <w:caps w:val="false"/>
          <w:smallCaps w:val="false"/>
          <w:sz w:val="20"/>
        </w:rPr>
        <w:t>Purpose</w:t>
      </w:r>
      <w:r>
        <w:rPr>
          <w:rFonts w:ascii="Times New Roman" w:hAnsi="Times New Roman"/>
          <w:caps w:val="false"/>
          <w:smallCaps w:val="false"/>
          <w:sz w:val="20"/>
        </w:rPr>
        <w:t>. The Company is committed to promoting high standards of honest and ethical business conduct and compliance with applicable laws, rules, and regulations. In accordance with the applicable rules of The Nasdaq Stock Market (the “</w:t>
      </w:r>
      <w:r>
        <w:rPr>
          <w:rFonts w:ascii="Times New Roman" w:hAnsi="Times New Roman"/>
          <w:b/>
          <w:i/>
          <w:caps w:val="false"/>
          <w:smallCaps w:val="false"/>
          <w:sz w:val="20"/>
        </w:rPr>
        <w:t>Nasdaq Rules</w:t>
      </w:r>
      <w:r>
        <w:rPr>
          <w:rFonts w:ascii="Times New Roman" w:hAnsi="Times New Roman"/>
          <w:caps w:val="false"/>
          <w:smallCaps w:val="false"/>
          <w:sz w:val="20"/>
        </w:rPr>
        <w:t>”) and Section 10D and Rule 10D-1 of the Securities Exchange Act of 1934, as amended (the “</w:t>
      </w:r>
      <w:r>
        <w:rPr>
          <w:rFonts w:ascii="Times New Roman" w:hAnsi="Times New Roman"/>
          <w:b/>
          <w:i/>
          <w:caps w:val="false"/>
          <w:smallCaps w:val="false"/>
          <w:sz w:val="20"/>
        </w:rPr>
        <w:t>Exchange Act</w:t>
      </w:r>
      <w:r>
        <w:rPr>
          <w:rFonts w:ascii="Times New Roman" w:hAnsi="Times New Roman"/>
          <w:caps w:val="false"/>
          <w:smallCaps w:val="false"/>
          <w:sz w:val="20"/>
        </w:rPr>
        <w:t>”) (“</w:t>
      </w:r>
      <w:r>
        <w:rPr>
          <w:rFonts w:ascii="Times New Roman" w:hAnsi="Times New Roman"/>
          <w:b/>
          <w:i/>
          <w:caps w:val="false"/>
          <w:smallCaps w:val="false"/>
          <w:sz w:val="20"/>
        </w:rPr>
        <w:t>Rule 10D-1</w:t>
      </w:r>
      <w:r>
        <w:rPr>
          <w:rFonts w:ascii="Times New Roman" w:hAnsi="Times New Roman"/>
          <w:caps w:val="false"/>
          <w:smallCaps w:val="false"/>
          <w:sz w:val="20"/>
        </w:rPr>
        <w:t>”), this Policy explains when the Company will be required to seek recovery of Incentive Compensation erroneously awarded to a Covered Person.  All capitalized terms used and not otherwise defined herein shall have the meanings set forth in Section 11,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2. </w:t>
      </w:r>
      <w:r>
        <w:rPr>
          <w:rFonts w:ascii="Times New Roman" w:hAnsi="Times New Roman"/>
          <w:caps w:val="false"/>
          <w:smallCaps w:val="false"/>
          <w:sz w:val="20"/>
        </w:rPr>
        <w:t>         </w:t>
      </w:r>
      <w:r>
        <w:rPr>
          <w:rFonts w:ascii="Times New Roman" w:hAnsi="Times New Roman"/>
          <w:b/>
          <w:caps w:val="false"/>
          <w:smallCaps w:val="false"/>
          <w:sz w:val="20"/>
        </w:rPr>
        <w:t>Miscalculation of Financial Reporting Measure Results</w:t>
      </w:r>
      <w:r>
        <w:rPr>
          <w:rFonts w:ascii="Times New Roman" w:hAnsi="Times New Roman"/>
          <w:caps w:val="false"/>
          <w:smallCaps w:val="false"/>
          <w:sz w:val="20"/>
        </w:rPr>
        <w:t>. In the event of a Restatement, the Company will seek to recover, reasonably promptly, all Recoverable Incentive Compensation from a Covered Person in accordance with this Policy, the Nasdaq Rules, and Rule 10D-1. Such recovery, in the case of a Restatement, will be made without regard to any individual knowledge or responsibility related to the Restatement.  Notwithstanding the foregoing, if the Company is required to undertake a Restatement, the Company will not be required to recover the Recoverable Incentive Compensation if the Compensation Committee determines it Impracticable to do so, in the reasonable exercise of its business judgment after reviewing all the relevant facts and circumstances.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such Recoverable Incentive Compensation was not awarded or paid on a formulaic basis, the Company will seek to recover the amount of Recoverable Incentive Compensation that the Compensation Committee determines in good faith should be recouped pursuant to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3. </w:t>
      </w:r>
      <w:r>
        <w:rPr>
          <w:rFonts w:ascii="Times New Roman" w:hAnsi="Times New Roman"/>
          <w:caps w:val="false"/>
          <w:smallCaps w:val="false"/>
          <w:sz w:val="20"/>
        </w:rPr>
        <w:t>         </w:t>
      </w:r>
      <w:r>
        <w:rPr>
          <w:rFonts w:ascii="Times New Roman" w:hAnsi="Times New Roman"/>
          <w:b/>
          <w:caps w:val="false"/>
          <w:smallCaps w:val="false"/>
          <w:sz w:val="20"/>
        </w:rPr>
        <w:t>Other Actions</w:t>
      </w:r>
      <w:r>
        <w:rPr>
          <w:rFonts w:ascii="Times New Roman" w:hAnsi="Times New Roman"/>
          <w:caps w:val="false"/>
          <w:smallCaps w:val="false"/>
          <w:sz w:val="20"/>
        </w:rPr>
        <w:t>. The Compensation Committee may, subject to applicable law, seek recovery in the manner it chooses, including by seeking reimbursement from the Covered Person of all or part of the compensation awarded or paid, by electing to withhold unpaid compensation, by set-off, or by rescinding or canceling unvested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reasonable exercise of its business judgment under this Policy, the Compensation Committee may in its sole discretion determine whether and to what extent additional action is appropriate to address the circumstances surrounding a Restatement to minimize the likelihood of any recurrence and to impose such other discipline as it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1 of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4. </w:t>
      </w:r>
      <w:r>
        <w:rPr>
          <w:rFonts w:ascii="Times New Roman" w:hAnsi="Times New Roman"/>
          <w:caps w:val="false"/>
          <w:smallCaps w:val="false"/>
          <w:sz w:val="20"/>
        </w:rPr>
        <w:t>         </w:t>
      </w:r>
      <w:r>
        <w:rPr>
          <w:rFonts w:ascii="Times New Roman" w:hAnsi="Times New Roman"/>
          <w:b/>
          <w:caps w:val="false"/>
          <w:smallCaps w:val="false"/>
          <w:sz w:val="20"/>
        </w:rPr>
        <w:t xml:space="preserve">No Indemnification or Reimbursement. </w:t>
      </w:r>
      <w:r>
        <w:rPr>
          <w:rFonts w:ascii="Times New Roman" w:hAnsi="Times New Roman"/>
          <w:caps w:val="false"/>
          <w:smallCaps w:val="false"/>
          <w:sz w:val="20"/>
        </w:rPr>
        <w:t>Notwithstanding the terms of any other policy, program, agreement, or arrangement, in no event will the Company or any of its affiliates indemnify or reimburse a Covered Person for any loss under this Policy and in no event will the Company or any of its affiliates pay premiums on any insurance policy that would cover a Covered Person’s potential obligations with respect to Recoverable Incentive Compensation under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5. </w:t>
      </w:r>
      <w:r>
        <w:rPr>
          <w:rFonts w:ascii="Times New Roman" w:hAnsi="Times New Roman"/>
          <w:caps w:val="false"/>
          <w:smallCaps w:val="false"/>
          <w:sz w:val="20"/>
        </w:rPr>
        <w:t>         </w:t>
      </w:r>
      <w:r>
        <w:rPr>
          <w:rFonts w:ascii="Times New Roman" w:hAnsi="Times New Roman"/>
          <w:b/>
          <w:caps w:val="false"/>
          <w:smallCaps w:val="false"/>
          <w:sz w:val="20"/>
        </w:rPr>
        <w:t xml:space="preserve">Administration and Interpretation of Policy. </w:t>
      </w:r>
      <w:r>
        <w:rPr>
          <w:rFonts w:ascii="Times New Roman" w:hAnsi="Times New Roman"/>
          <w:caps w:val="false"/>
          <w:smallCaps w:val="false"/>
          <w:sz w:val="20"/>
        </w:rPr>
        <w:t>The Compensation Committee shall have the sole and exclusive authority to administer this Policy in accordance with and subject to the Nasdaq Rules and Rule 10D-1. The Compensation Committee is authorized to make such determinations and interpretations and to take such actions as it deems necessary, appropriate, or advisable for the administration of this Policy and for the Company’s continued compliance with Nasdaq Rules, Section 10D, Rule 10D-1, and any other applicable law, regulation, rule, or interpretation of the U.S. Securities and Exchange Commission (“</w:t>
      </w:r>
      <w:r>
        <w:rPr>
          <w:rFonts w:ascii="Times New Roman" w:hAnsi="Times New Roman"/>
          <w:b/>
          <w:i/>
          <w:caps w:val="false"/>
          <w:smallCaps w:val="false"/>
          <w:sz w:val="20"/>
        </w:rPr>
        <w:t>SEC</w:t>
      </w:r>
      <w:r>
        <w:rPr>
          <w:rFonts w:ascii="Times New Roman" w:hAnsi="Times New Roman"/>
          <w:caps w:val="false"/>
          <w:smallCaps w:val="false"/>
          <w:sz w:val="20"/>
        </w:rPr>
        <w:t>”) or Nasdaq promulgated or issued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6. </w:t>
      </w:r>
      <w:r>
        <w:rPr>
          <w:rFonts w:ascii="Times New Roman" w:hAnsi="Times New Roman"/>
          <w:caps w:val="false"/>
          <w:smallCaps w:val="false"/>
          <w:sz w:val="20"/>
        </w:rPr>
        <w:t>         </w:t>
      </w:r>
      <w:r>
        <w:rPr>
          <w:rFonts w:ascii="Times New Roman" w:hAnsi="Times New Roman"/>
          <w:b/>
          <w:caps w:val="false"/>
          <w:smallCaps w:val="false"/>
          <w:sz w:val="20"/>
        </w:rPr>
        <w:t xml:space="preserve">Other Claims and Rights. </w:t>
      </w:r>
      <w:r>
        <w:rPr>
          <w:rFonts w:ascii="Times New Roman" w:hAnsi="Times New Roman"/>
          <w:caps w:val="false"/>
          <w:smallCaps w:val="false"/>
          <w:sz w:val="20"/>
        </w:rPr>
        <w:t>The remedies under this Policy are in addition to, and not in lieu of, any legal and equitable claims the Company or any of its affiliates may have or any actions that may be imposed by law enforcement agencies, regulators, administrative bodies, or other authorities. Further, the exercise by the Compensation Committee of any rights pursuant to this Policy will not impact any other rights that the Company or any of its affiliates may have with respect to any Covered Person subject to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Policy has been established for the exclusive benefit of the Company. This Policy does not confer any rights, remedies, or authority upon, nor shall this Policy be enforced by, any person or entity other than the Company, the Board, and the Compensation Committee as set forth in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7. </w:t>
      </w:r>
      <w:r>
        <w:rPr>
          <w:rFonts w:ascii="Times New Roman" w:hAnsi="Times New Roman"/>
          <w:caps w:val="false"/>
          <w:smallCaps w:val="false"/>
          <w:sz w:val="20"/>
        </w:rPr>
        <w:t>         </w:t>
      </w:r>
      <w:r>
        <w:rPr>
          <w:rFonts w:ascii="Times New Roman" w:hAnsi="Times New Roman"/>
          <w:b/>
          <w:caps w:val="false"/>
          <w:smallCaps w:val="false"/>
          <w:sz w:val="20"/>
        </w:rPr>
        <w:t xml:space="preserve">Acknowledgement by Covered Persons; Condition to Eligibility for Incentive Compensation. </w:t>
      </w:r>
      <w:r>
        <w:rPr>
          <w:rFonts w:ascii="Times New Roman" w:hAnsi="Times New Roman"/>
          <w:caps w:val="false"/>
          <w:smallCaps w:val="false"/>
          <w:sz w:val="20"/>
        </w:rPr>
        <w:t>The Company will provide notice to and seek acknowledgement of this Policy from each Covered Person, provided that the failure to provide such notice or obtain such acknowledgement will have no impact on the applicability or enforceability of this Policy. After the Effective Date, the Company must be in receipt of a Covered Person’s acknowledgement as a condition to such Covered Person’s eligibility to receive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8. </w:t>
      </w:r>
      <w:r>
        <w:rPr>
          <w:rFonts w:ascii="Times New Roman" w:hAnsi="Times New Roman"/>
          <w:caps w:val="false"/>
          <w:smallCaps w:val="false"/>
          <w:sz w:val="20"/>
        </w:rPr>
        <w:t>         </w:t>
      </w:r>
      <w:r>
        <w:rPr>
          <w:rFonts w:ascii="Times New Roman" w:hAnsi="Times New Roman"/>
          <w:b/>
          <w:caps w:val="false"/>
          <w:smallCaps w:val="false"/>
          <w:sz w:val="20"/>
        </w:rPr>
        <w:t>Amendment; Termination</w:t>
      </w:r>
      <w:r>
        <w:rPr>
          <w:rFonts w:ascii="Times New Roman" w:hAnsi="Times New Roman"/>
          <w:caps w:val="false"/>
          <w:smallCaps w:val="false"/>
          <w:sz w:val="20"/>
        </w:rPr>
        <w:t>. The Board or the Compensation Committee may in its discretion amend or terminate this Policy at any time as it deems necessary. Notwithstanding anything in this Section 8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2 of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9. </w:t>
      </w:r>
      <w:r>
        <w:rPr>
          <w:rFonts w:ascii="Times New Roman" w:hAnsi="Times New Roman"/>
          <w:caps w:val="false"/>
          <w:smallCaps w:val="false"/>
          <w:sz w:val="20"/>
        </w:rPr>
        <w:t>         </w:t>
      </w:r>
      <w:r>
        <w:rPr>
          <w:rFonts w:ascii="Times New Roman" w:hAnsi="Times New Roman"/>
          <w:b/>
          <w:caps w:val="false"/>
          <w:smallCaps w:val="false"/>
          <w:sz w:val="20"/>
        </w:rPr>
        <w:t xml:space="preserve">Effectiveness. </w:t>
      </w:r>
      <w:r>
        <w:rPr>
          <w:rFonts w:ascii="Times New Roman" w:hAnsi="Times New Roman"/>
          <w:caps w:val="false"/>
          <w:smallCaps w:val="false"/>
          <w:sz w:val="20"/>
        </w:rPr>
        <w:t>Except as otherwise determined in writing by the Compensation Committee, this Policy will apply to any Incentive Compensation that is Received by a Covered Person on or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10. </w:t>
      </w:r>
      <w:r>
        <w:rPr>
          <w:rFonts w:ascii="Times New Roman" w:hAnsi="Times New Roman"/>
          <w:caps w:val="false"/>
          <w:smallCaps w:val="false"/>
          <w:sz w:val="20"/>
        </w:rPr>
        <w:t>         </w:t>
      </w:r>
      <w:r>
        <w:rPr>
          <w:rFonts w:ascii="Times New Roman" w:hAnsi="Times New Roman"/>
          <w:b/>
          <w:caps w:val="false"/>
          <w:smallCaps w:val="false"/>
          <w:sz w:val="20"/>
        </w:rPr>
        <w:t>Disclosure Requirements.</w:t>
      </w:r>
      <w:r>
        <w:rPr>
          <w:rFonts w:ascii="Times New Roman" w:hAnsi="Times New Roman"/>
          <w:caps w:val="false"/>
          <w:smallCaps w:val="false"/>
          <w:sz w:val="20"/>
        </w:rPr>
        <w:t xml:space="preserve"> The Company shall file all disclosures with respect to this Policy required by applicable SEC filings and rulings.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 xml:space="preserve">Definitions. </w:t>
      </w:r>
      <w:r>
        <w:rPr>
          <w:rFonts w:ascii="Times New Roman" w:hAnsi="Times New Roman"/>
          <w:caps w:val="false"/>
          <w:smallCaps w:val="false"/>
          <w:sz w:val="20"/>
        </w:rPr>
        <w:t>For purposes of this Policy, the following capitalized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11.1</w:t>
      </w:r>
      <w:r>
        <w:rPr>
          <w:rFonts w:ascii="Times New Roman" w:hAnsi="Times New Roman"/>
          <w:caps w:val="false"/>
          <w:smallCaps w:val="false"/>
          <w:sz w:val="20"/>
        </w:rPr>
        <w:t>         “</w:t>
      </w:r>
      <w:r>
        <w:rPr>
          <w:rFonts w:ascii="Times New Roman" w:hAnsi="Times New Roman"/>
          <w:b/>
          <w:i/>
          <w:caps w:val="false"/>
          <w:smallCaps w:val="false"/>
          <w:sz w:val="20"/>
        </w:rPr>
        <w:t>Applicable Period</w:t>
      </w:r>
      <w:r>
        <w:rPr>
          <w:rFonts w:ascii="Times New Roman" w:hAnsi="Times New Roman"/>
          <w:caps w:val="false"/>
          <w:smallCaps w:val="false"/>
          <w:sz w:val="20"/>
        </w:rPr>
        <w:t>” means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a Restatement is required or (ii) the date a court, regulator, or other legally authorized body directs the Company to prepare a Restatement. The “Applicable Period” also includes any transition period (that results from a change in the Company’s fiscal year) within or immediately following the three completed fiscal years identified in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11.2</w:t>
      </w:r>
      <w:r>
        <w:rPr>
          <w:rFonts w:ascii="Times New Roman" w:hAnsi="Times New Roman"/>
          <w:caps w:val="false"/>
          <w:smallCaps w:val="false"/>
          <w:sz w:val="20"/>
        </w:rPr>
        <w:t>         “</w:t>
      </w:r>
      <w:r>
        <w:rPr>
          <w:rFonts w:ascii="Times New Roman" w:hAnsi="Times New Roman"/>
          <w:b/>
          <w:i/>
          <w:caps w:val="false"/>
          <w:smallCaps w:val="false"/>
          <w:sz w:val="20"/>
        </w:rPr>
        <w:t>Board</w:t>
      </w:r>
      <w:r>
        <w:rPr>
          <w:rFonts w:ascii="Times New Roman" w:hAnsi="Times New Roman"/>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11.3</w:t>
      </w:r>
      <w:r>
        <w:rPr>
          <w:rFonts w:ascii="Times New Roman" w:hAnsi="Times New Roman"/>
          <w:caps w:val="false"/>
          <w:smallCaps w:val="false"/>
          <w:sz w:val="20"/>
        </w:rPr>
        <w:t>         “</w:t>
      </w:r>
      <w:r>
        <w:rPr>
          <w:rFonts w:ascii="Times New Roman" w:hAnsi="Times New Roman"/>
          <w:b/>
          <w:i/>
          <w:caps w:val="false"/>
          <w:smallCaps w:val="false"/>
          <w:sz w:val="20"/>
        </w:rPr>
        <w:t>Company</w:t>
      </w:r>
      <w:r>
        <w:rPr>
          <w:rFonts w:ascii="Times New Roman" w:hAnsi="Times New Roman"/>
          <w:caps w:val="false"/>
          <w:smallCaps w:val="false"/>
          <w:sz w:val="20"/>
        </w:rPr>
        <w:t>” shall refer solely and exclusively to Filana Therapeutics, Inc. and shall not include any other person or entity, including any successor company or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11.4</w:t>
      </w:r>
      <w:r>
        <w:rPr>
          <w:rFonts w:ascii="Times New Roman" w:hAnsi="Times New Roman"/>
          <w:caps w:val="false"/>
          <w:smallCaps w:val="false"/>
          <w:sz w:val="20"/>
        </w:rPr>
        <w:t>         “</w:t>
      </w:r>
      <w:r>
        <w:rPr>
          <w:rFonts w:ascii="Times New Roman" w:hAnsi="Times New Roman"/>
          <w:b/>
          <w:i/>
          <w:caps w:val="false"/>
          <w:smallCaps w:val="false"/>
          <w:sz w:val="20"/>
        </w:rPr>
        <w:t>Compensation Committee</w:t>
      </w:r>
      <w:r>
        <w:rPr>
          <w:rFonts w:ascii="Times New Roman" w:hAnsi="Times New Roman"/>
          <w:caps w:val="false"/>
          <w:smallCaps w:val="false"/>
          <w:sz w:val="20"/>
        </w:rPr>
        <w:t>” means the Company’s committee of independent directors responsible for executive compensation decisions, or in the absence of such a committee, a majority of the independent directors serving on the Board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11.5</w:t>
      </w:r>
      <w:r>
        <w:rPr>
          <w:rFonts w:ascii="Times New Roman" w:hAnsi="Times New Roman"/>
          <w:caps w:val="false"/>
          <w:smallCaps w:val="false"/>
          <w:sz w:val="20"/>
        </w:rPr>
        <w:t>         “</w:t>
      </w:r>
      <w:r>
        <w:rPr>
          <w:rFonts w:ascii="Times New Roman" w:hAnsi="Times New Roman"/>
          <w:b/>
          <w:i/>
          <w:caps w:val="false"/>
          <w:smallCaps w:val="false"/>
          <w:sz w:val="20"/>
        </w:rPr>
        <w:t>Covered Person</w:t>
      </w:r>
      <w:r>
        <w:rPr>
          <w:rFonts w:ascii="Times New Roman" w:hAnsi="Times New Roman"/>
          <w:caps w:val="false"/>
          <w:smallCaps w:val="false"/>
          <w:sz w:val="20"/>
        </w:rPr>
        <w:t>” means any person who is, or was at any time, during the Applicable Period, an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11.6</w:t>
      </w:r>
      <w:r>
        <w:rPr>
          <w:rFonts w:ascii="Times New Roman" w:hAnsi="Times New Roman"/>
          <w:caps w:val="false"/>
          <w:smallCaps w:val="false"/>
          <w:sz w:val="20"/>
        </w:rPr>
        <w:t>         “</w:t>
      </w:r>
      <w:r>
        <w:rPr>
          <w:rFonts w:ascii="Times New Roman" w:hAnsi="Times New Roman"/>
          <w:b/>
          <w:i/>
          <w:caps w:val="false"/>
          <w:smallCaps w:val="false"/>
          <w:sz w:val="20"/>
        </w:rPr>
        <w:t>Executive Officer</w:t>
      </w:r>
      <w:r>
        <w:rPr>
          <w:rFonts w:ascii="Times New Roman" w:hAnsi="Times New Roman"/>
          <w:caps w:val="false"/>
          <w:smallCaps w:val="false"/>
          <w:sz w:val="20"/>
        </w:rPr>
        <w:t>” 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or Item 6.A of Form 20-F, as applicable, as well as the principal financial officer and principal accounting officer (or, if there is no principal accounting officer, the controller).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11.7</w:t>
      </w:r>
      <w:r>
        <w:rPr>
          <w:rFonts w:ascii="Times New Roman" w:hAnsi="Times New Roman"/>
          <w:caps w:val="false"/>
          <w:smallCaps w:val="false"/>
          <w:sz w:val="20"/>
        </w:rPr>
        <w:t>         “</w:t>
      </w:r>
      <w:r>
        <w:rPr>
          <w:rFonts w:ascii="Times New Roman" w:hAnsi="Times New Roman"/>
          <w:b/>
          <w:i/>
          <w:caps w:val="false"/>
          <w:smallCaps w:val="false"/>
          <w:sz w:val="20"/>
        </w:rPr>
        <w:t>Financial Reporting Measure</w:t>
      </w:r>
      <w:r>
        <w:rPr>
          <w:rFonts w:ascii="Times New Roman" w:hAnsi="Times New Roman"/>
          <w:caps w:val="false"/>
          <w:smallCaps w:val="false"/>
          <w:sz w:val="20"/>
        </w:rPr>
        <w:t>” means a measure that is determined and presented in accordance with the accounting principles used in preparing the Company’s financial statements (including but not limited to “non-GAAP” financial measures, such as those appearing in the Company’s earnings releases or Management Discussion and Analysis), and any measure that is derived wholly or in part from such measure. Stock price and total shareholder return (and any measures derived wholly or in part therefrom) shall be considered Financial Reporting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3 of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11.8</w:t>
      </w:r>
      <w:r>
        <w:rPr>
          <w:rFonts w:ascii="Times New Roman" w:hAnsi="Times New Roman"/>
          <w:caps w:val="false"/>
          <w:smallCaps w:val="false"/>
          <w:sz w:val="20"/>
        </w:rPr>
        <w:t>         “</w:t>
      </w:r>
      <w:r>
        <w:rPr>
          <w:rFonts w:ascii="Times New Roman" w:hAnsi="Times New Roman"/>
          <w:b/>
          <w:i/>
          <w:caps w:val="false"/>
          <w:smallCaps w:val="false"/>
          <w:sz w:val="20"/>
        </w:rPr>
        <w:t>Impracticable.</w:t>
      </w:r>
      <w:r>
        <w:rPr>
          <w:rFonts w:ascii="Times New Roman" w:hAnsi="Times New Roman"/>
          <w:caps w:val="false"/>
          <w:smallCaps w:val="false"/>
          <w:sz w:val="20"/>
        </w:rPr>
        <w:t>” The Compensation Committee may determine in good faith that recovery of Recoverable Incentive Compensation is “Impracticable” if: (i) pursuing such recovery would violate home country law of the jurisdiction of incorporation of the Company where that law was adopted prior to November 28, 2022 and the Company provides an opinion of home country counsel to that effect acceptable to the Company’s applicable listing exchange; (ii) the direct expense paid to a third party to assist in enforcing this Policy would exceed the Recoverable Incentive Compensation and the Company has (A) made a reasonable attempt to recover such amounts and (B) provided documentation of such attempts to recover to the Company’s applicable listing exchange; or (iii) recovery would likely cause an otherwise tax-qualified retirement plan, under which benefits are broadly available to employees of the Company, to fail to meet the requirements of Section 401(a)(13) or Section 411(a)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11.9</w:t>
      </w:r>
      <w:r>
        <w:rPr>
          <w:rFonts w:ascii="Times New Roman" w:hAnsi="Times New Roman"/>
          <w:caps w:val="false"/>
          <w:smallCaps w:val="false"/>
          <w:sz w:val="20"/>
        </w:rPr>
        <w:t>         “</w:t>
      </w:r>
      <w:r>
        <w:rPr>
          <w:rFonts w:ascii="Times New Roman" w:hAnsi="Times New Roman"/>
          <w:b/>
          <w:i/>
          <w:caps w:val="false"/>
          <w:smallCaps w:val="false"/>
          <w:sz w:val="20"/>
        </w:rPr>
        <w:t>Incentive Compensation</w:t>
      </w:r>
      <w:r>
        <w:rPr>
          <w:rFonts w:ascii="Times New Roman" w:hAnsi="Times New Roman"/>
          <w:caps w:val="false"/>
          <w:smallCaps w:val="false"/>
          <w:sz w:val="20"/>
        </w:rPr>
        <w:t>” means any compensation that is granted, earned, or vested based wholly or in part upon the attainment of a Financial Reporting Measure. Incentive Compensation does not include any base salaries (except with respect to any salary increases earned wholly or in part based on the attainment of a Financial Reporting Measure performance goal); bonuses paid solely at the discretion of the Compensation Committee or Board that are not paid from a “bonus pool” that is determined by satisfying a Financial Reporting Measure performance goal; bonuses paid solely upon satisfying one or more subjective standards and/or completion of a specified employment period; non-equity incentive plan awards earned solely upon satisfying one or more strategic measures or operational measures; and equity awards that vest solely based on the passage of time and/or attaining one or more non-Financial Reporting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11.10</w:t>
      </w:r>
      <w:r>
        <w:rPr>
          <w:rFonts w:ascii="Times New Roman" w:hAnsi="Times New Roman"/>
          <w:caps w:val="false"/>
          <w:smallCaps w:val="false"/>
          <w:sz w:val="20"/>
        </w:rPr>
        <w:t>         “</w:t>
      </w:r>
      <w:r>
        <w:rPr>
          <w:rFonts w:ascii="Times New Roman" w:hAnsi="Times New Roman"/>
          <w:b/>
          <w:i/>
          <w:caps w:val="false"/>
          <w:smallCaps w:val="false"/>
          <w:sz w:val="20"/>
        </w:rPr>
        <w:t>Received.</w:t>
      </w:r>
      <w:r>
        <w:rPr>
          <w:rFonts w:ascii="Times New Roman" w:hAnsi="Times New Roman"/>
          <w:caps w:val="false"/>
          <w:smallCaps w:val="false"/>
          <w:sz w:val="20"/>
        </w:rPr>
        <w:t>” Incentive Compensation is deemed “Received” in the Company’s fiscal period during which the Financial Reporting Measure specified in the Incentive Compensation award is attained, even if the payment or grant of the Incentive Compensation occurs after the end of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11.11</w:t>
      </w:r>
      <w:r>
        <w:rPr>
          <w:rFonts w:ascii="Times New Roman" w:hAnsi="Times New Roman"/>
          <w:caps w:val="false"/>
          <w:smallCaps w:val="false"/>
          <w:sz w:val="20"/>
        </w:rPr>
        <w:t>         “</w:t>
      </w:r>
      <w:r>
        <w:rPr>
          <w:rFonts w:ascii="Times New Roman" w:hAnsi="Times New Roman"/>
          <w:b/>
          <w:i/>
          <w:caps w:val="false"/>
          <w:smallCaps w:val="false"/>
          <w:sz w:val="20"/>
        </w:rPr>
        <w:t>Recoverable Incentive Compensation</w:t>
      </w:r>
      <w:r>
        <w:rPr>
          <w:rFonts w:ascii="Times New Roman" w:hAnsi="Times New Roman"/>
          <w:caps w:val="false"/>
          <w:smallCaps w:val="false"/>
          <w:sz w:val="20"/>
        </w:rPr>
        <w:t>” means the amount of any erroneously awarded Incentive Compensation (calculated on a pre-tax basis) Received by a Covered Person during the Applicable Period that is in excess of the amount that otherwise would have been Received if the calculation were based on the Restatement. For the avoidance of doubt Recoverable Incentive Compensation does not include any Incentive Compensation Received by a person (i) before such person began service in a position or capacity meeting the definition of an Executive Officer, (ii) who did not serve as an Executive Officer at any time during the performance period for that Incentive Compensation, or (iii) during any period the Company did not have a class of its securities listed on a national securities exchange or a national securities association. For Incentive Compensation based on (or derived from) stock price or total shareholder return where the amount of Recoverable Incentive Compensation is not subject to mathematical recalculation directly from the information in the applicable Restatement, the amount will be determined by the Compensation Committee based on a reasonable estimate of the effect of the Restatement on the stock price or total shareholder return upon which the Incentive Compensation was Received (in which case, the Company will maintain documentation of such determination of that reasonable estimate and provide such documentation to the Company’s applicable listing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4 of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11.12</w:t>
      </w:r>
      <w:r>
        <w:rPr>
          <w:rFonts w:ascii="Times New Roman" w:hAnsi="Times New Roman"/>
          <w:caps w:val="false"/>
          <w:smallCaps w:val="false"/>
          <w:sz w:val="20"/>
        </w:rPr>
        <w:t>         “</w:t>
      </w:r>
      <w:r>
        <w:rPr>
          <w:rFonts w:ascii="Times New Roman" w:hAnsi="Times New Roman"/>
          <w:b/>
          <w:i/>
          <w:caps w:val="false"/>
          <w:smallCaps w:val="false"/>
          <w:sz w:val="20"/>
        </w:rPr>
        <w:t>Restatement</w:t>
      </w:r>
      <w:r>
        <w:rPr>
          <w:rFonts w:ascii="Times New Roman" w:hAnsi="Times New Roman"/>
          <w:caps w:val="false"/>
          <w:smallCaps w:val="false"/>
          <w:sz w:val="20"/>
        </w:rPr>
        <w:t>” means an accounting restatement of any of the Company’s financial statements filed with the Securities and Exchange Commission under the Exchange Act, or the Securities Act of 1933, as amended, due to the Company’s material noncompliance with any financial reporting requirement under U.S. securities laws, including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sz w:val="20"/>
        </w:rPr>
      </w:pPr>
      <w:r>
        <w:rPr>
          <w:rFonts w:ascii="Times New Roman" w:hAnsi="Times New Roman"/>
          <w:sz w:val="20"/>
        </w:rPr>
        <w:t>Page 5 of 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69530/000119312505152582/dex31.htm" TargetMode="External"/><Relationship Id="rId3" Type="http://schemas.openxmlformats.org/officeDocument/2006/relationships/hyperlink" Target="http://www.sec.gov/Archives/edgar/data/1069530/000119312505152582/dex31.htm" TargetMode="External"/><Relationship Id="rId4" Type="http://schemas.openxmlformats.org/officeDocument/2006/relationships/hyperlink" Target="http://www.sec.gov/Archives/edgar/data/1069530/000106953017000028/ptie-20170508xex3_1.htm" TargetMode="External"/><Relationship Id="rId5" Type="http://schemas.openxmlformats.org/officeDocument/2006/relationships/hyperlink" Target="http://www.sec.gov/Archives/edgar/data/1069530/000106953017000028/ptie-20170508xex3_1.htm" TargetMode="External"/><Relationship Id="rId6" Type="http://schemas.openxmlformats.org/officeDocument/2006/relationships/hyperlink" Target="http://www.sec.gov/Archives/edgar/data/1069530/000106953019000019/sava-20181231xex3_3.htm" TargetMode="External"/><Relationship Id="rId7" Type="http://schemas.openxmlformats.org/officeDocument/2006/relationships/hyperlink" Target="http://www.sec.gov/Archives/edgar/data/1069530/000106953019000019/sava-20181231xex3_3.htm" TargetMode="External"/><Relationship Id="rId8" Type="http://schemas.openxmlformats.org/officeDocument/2006/relationships/hyperlink" Target="http://www.sec.gov/Archives/edgar/data/1069530/000143774926007422/ex_929959.htm" TargetMode="External"/><Relationship Id="rId9" Type="http://schemas.openxmlformats.org/officeDocument/2006/relationships/hyperlink" Target="http://www.sec.gov/Archives/edgar/data/1069530/000143774926007422/ex_929959.htm" TargetMode="External"/><Relationship Id="rId10" Type="http://schemas.openxmlformats.org/officeDocument/2006/relationships/hyperlink" Target="http://www.sec.gov/Archives/edgar/data/1069530/000143774926007422/ex_929960.htm" TargetMode="External"/><Relationship Id="rId11" Type="http://schemas.openxmlformats.org/officeDocument/2006/relationships/hyperlink" Target="http://www.sec.gov/Archives/edgar/data/1069530/000143774926007422/ex_929960.htm" TargetMode="External"/><Relationship Id="rId12" Type="http://schemas.openxmlformats.org/officeDocument/2006/relationships/hyperlink" Target="http://www.sec.gov/Archives/edgar/data/1069530/000106953019000032/sava-20190630xex4_1.htm" TargetMode="External"/><Relationship Id="rId13" Type="http://schemas.openxmlformats.org/officeDocument/2006/relationships/hyperlink" Target="http://www.sec.gov/Archives/edgar/data/1069530/000106953019000032/sava-20190630xex4_1.htm" TargetMode="External"/><Relationship Id="rId14" Type="http://schemas.openxmlformats.org/officeDocument/2006/relationships/hyperlink" Target="http://www.sec.gov/Archives/edgar/data/1069530/000106953022000011/sava-20211231xex10_1.htm" TargetMode="External"/><Relationship Id="rId15" Type="http://schemas.openxmlformats.org/officeDocument/2006/relationships/hyperlink" Target="http://www.sec.gov/Archives/edgar/data/1069530/000106953022000011/sava-20211231xex10_1.htm" TargetMode="External"/><Relationship Id="rId16" Type="http://schemas.openxmlformats.org/officeDocument/2006/relationships/hyperlink" Target="http://www.sec.gov/Archives/edgar/data/1069530/000119312510170701/dex101.htm" TargetMode="External"/><Relationship Id="rId17" Type="http://schemas.openxmlformats.org/officeDocument/2006/relationships/hyperlink" Target="http://www.sec.gov/Archives/edgar/data/1069530/000119312510170701/dex101.htm" TargetMode="External"/><Relationship Id="rId18" Type="http://schemas.openxmlformats.org/officeDocument/2006/relationships/hyperlink" Target="http://www.sec.gov/Archives/edgar/data/1069530/000119312508124661/dex101.htm" TargetMode="External"/><Relationship Id="rId19" Type="http://schemas.openxmlformats.org/officeDocument/2006/relationships/hyperlink" Target="http://www.sec.gov/Archives/edgar/data/1069530/000119312508124661/dex101.htm" TargetMode="External"/><Relationship Id="rId20" Type="http://schemas.openxmlformats.org/officeDocument/2006/relationships/hyperlink" Target="http://www.sec.gov/Archives/edgar/data/1069530/000119312513315094/d547249dex101.htm" TargetMode="External"/><Relationship Id="rId21" Type="http://schemas.openxmlformats.org/officeDocument/2006/relationships/hyperlink" Target="http://www.sec.gov/Archives/edgar/data/1069530/000119312513315094/d547249dex101.htm" TargetMode="External"/><Relationship Id="rId22" Type="http://schemas.openxmlformats.org/officeDocument/2006/relationships/hyperlink" Target="http://www.sec.gov/Archives/edgar/data/1069530/000106953018000025/ptie-20180511xex10_1.htm" TargetMode="External"/><Relationship Id="rId23" Type="http://schemas.openxmlformats.org/officeDocument/2006/relationships/hyperlink" Target="http://www.sec.gov/Archives/edgar/data/1069530/000106953018000025/ptie-20180511xex10_1.htm" TargetMode="External"/><Relationship Id="rId24" Type="http://schemas.openxmlformats.org/officeDocument/2006/relationships/hyperlink" Target="http://www.sec.gov/Archives/edgar/data/0001069530/000106953023000039/sava-20230630xex10_2.htm" TargetMode="External"/><Relationship Id="rId25" Type="http://schemas.openxmlformats.org/officeDocument/2006/relationships/hyperlink" Target="http://www.sec.gov/Archives/edgar/data/0001069530/000106953023000039/sava-20230630xex10_2.htm" TargetMode="External"/><Relationship Id="rId26" Type="http://schemas.openxmlformats.org/officeDocument/2006/relationships/hyperlink" Target="http://www.sec.gov/Archives/edgar/data/1069530/000143774925012540/ex_803689.htm" TargetMode="External"/><Relationship Id="rId27" Type="http://schemas.openxmlformats.org/officeDocument/2006/relationships/hyperlink" Target="http://www.sec.gov/Archives/edgar/data/1069530/000143774925012540/ex_803689.htm" TargetMode="External"/><Relationship Id="rId28" Type="http://schemas.openxmlformats.org/officeDocument/2006/relationships/hyperlink" Target="http://www.sec.gov/Archives/edgar/data/1069530/000143774925012540/ex_803689.htm" TargetMode="External"/><Relationship Id="rId29" Type="http://schemas.openxmlformats.org/officeDocument/2006/relationships/hyperlink" Target="http://www.sec.gov/Archives/edgar/data/1069530/000143774925012540/ex_803688.htm" TargetMode="External"/><Relationship Id="rId30" Type="http://schemas.openxmlformats.org/officeDocument/2006/relationships/hyperlink" Target="http://www.sec.gov/Archives/edgar/data/1069530/000143774925012540/ex_803688.htm" TargetMode="External"/><Relationship Id="rId31" Type="http://schemas.openxmlformats.org/officeDocument/2006/relationships/hyperlink" Target="http://www.sec.gov/Archives/edgar/data/1069530/000143774925012540/ex_803688.htm" TargetMode="External"/><Relationship Id="rId32" Type="http://schemas.openxmlformats.org/officeDocument/2006/relationships/hyperlink" Target="http://www.sec.gov/Archives/edgar/data/0001069530/000143774924030345/ex_728679.htm" TargetMode="External"/><Relationship Id="rId33" Type="http://schemas.openxmlformats.org/officeDocument/2006/relationships/hyperlink" Target="http://www.sec.gov/Archives/edgar/data/0001069530/000143774924030345/ex_728679.htm" TargetMode="External"/><Relationship Id="rId34" Type="http://schemas.openxmlformats.org/officeDocument/2006/relationships/hyperlink" Target="http://www.sec.gov/Archives/edgar/data/1069530/000106953021000011/sava-20210311xex10_1.htm" TargetMode="External"/><Relationship Id="rId35" Type="http://schemas.openxmlformats.org/officeDocument/2006/relationships/hyperlink" Target="http://www.sec.gov/Archives/edgar/data/1069530/000106953021000011/sava-20210311xex10_1.htm" TargetMode="External"/><Relationship Id="rId36" Type="http://schemas.openxmlformats.org/officeDocument/2006/relationships/hyperlink" Target="http://www.sec.gov/Archives/edgar/data/1069530/000106953021000050/sava-20210930xex10_4.htm" TargetMode="External"/><Relationship Id="rId37" Type="http://schemas.openxmlformats.org/officeDocument/2006/relationships/hyperlink" Target="http://www.sec.gov/Archives/edgar/data/1069530/000106953021000050/sava-20210930xex10_4.htm" TargetMode="External"/><Relationship Id="rId38" Type="http://schemas.openxmlformats.org/officeDocument/2006/relationships/hyperlink" Target="http://www.sec.gov/Archives/edgar/data/1069530/000106953022000033/sava-20220630xex10_1.htm" TargetMode="External"/><Relationship Id="rId39" Type="http://schemas.openxmlformats.org/officeDocument/2006/relationships/hyperlink" Target="http://www.sec.gov/Archives/edgar/data/1069530/000106953022000033/sava-20220630xex10_1.htm" TargetMode="External"/><Relationship Id="rId40" Type="http://schemas.openxmlformats.org/officeDocument/2006/relationships/hyperlink" Target="http://www.sec.gov/Archives/edgar/data/1069530/000106953023000039/sava-20230630xex10_3.htm" TargetMode="External"/><Relationship Id="rId41" Type="http://schemas.openxmlformats.org/officeDocument/2006/relationships/hyperlink" Target="http://www.sec.gov/Archives/edgar/data/1069530/000106953023000039/sava-20230630xex10_3.htm" TargetMode="External"/><Relationship Id="rId42" Type="http://schemas.openxmlformats.org/officeDocument/2006/relationships/hyperlink" Target="http://www.sec.gov/Archives/edgar/data/1069530/000143774925005338/ex_781585.htm" TargetMode="External"/><Relationship Id="rId43" Type="http://schemas.openxmlformats.org/officeDocument/2006/relationships/hyperlink" Target="http://www.sec.gov/Archives/edgar/data/1069530/000143774925005338/ex_781585.htm" TargetMode="External"/><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98544</Words>
  <Characters>544810</Characters>
  <CharactersWithSpaces>645262</CharactersWithSpaces>
  <Paragraphs>8868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