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ava20260630_10q.htm"/>
      <w:bookmarkStart w:id="1" w:name="kssava20260630_10q"/>
      <w:bookmarkEnd w:id="0"/>
      <w:bookmarkEnd w:id="1"/>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6065" w:type="dxa"/>
        <w:jc w:val="left"/>
        <w:tblInd w:w="0" w:type="dxa"/>
        <w:tblLayout w:type="fixed"/>
        <w:tblCellMar>
          <w:top w:w="0" w:type="dxa"/>
          <w:left w:w="0" w:type="dxa"/>
          <w:bottom w:w="0" w:type="dxa"/>
          <w:right w:w="0" w:type="dxa"/>
        </w:tblCellMar>
      </w:tblPr>
      <w:tblGrid>
        <w:gridCol w:w="60"/>
        <w:gridCol w:w="5945"/>
        <w:gridCol w:w="60"/>
      </w:tblGrid>
      <w:tr>
        <w:trPr/>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ind w:left="36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SECURITIES EXCHANGE ACT OF 1934</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30, 2026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tbl>
      <w:tblPr>
        <w:tblW w:w="6050" w:type="dxa"/>
        <w:jc w:val="left"/>
        <w:tblInd w:w="0" w:type="dxa"/>
        <w:tblLayout w:type="fixed"/>
        <w:tblCellMar>
          <w:top w:w="0" w:type="dxa"/>
          <w:left w:w="0" w:type="dxa"/>
          <w:bottom w:w="0" w:type="dxa"/>
          <w:right w:w="0" w:type="dxa"/>
        </w:tblCellMar>
      </w:tblPr>
      <w:tblGrid>
        <w:gridCol w:w="60"/>
        <w:gridCol w:w="5930"/>
        <w:gridCol w:w="60"/>
      </w:tblGrid>
      <w:tr>
        <w:trPr/>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ind w:left="0" w:right="0" w:hanging="0"/>
              <w:jc w:val="center"/>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SECURITIES EXCHANGE ACT OF 1934</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 to ___________</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001-41905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Filana Therapeutics,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60"/>
        <w:gridCol w:w="2570"/>
        <w:gridCol w:w="1895"/>
        <w:gridCol w:w="60"/>
      </w:tblGrid>
      <w:tr>
        <w:trPr/>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Delaware </w:t>
            </w:r>
          </w:p>
        </w:tc>
        <w:tc>
          <w:tcPr>
            <w:tcW w:w="18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91-1911336 </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(State</w:t>
            </w:r>
            <w:r>
              <w:rPr>
                <w:rFonts w:ascii="Times New Roman" w:hAnsi="Times New Roman"/>
                <w:caps w:val="false"/>
                <w:smallCaps w:val="false"/>
                <w:sz w:val="20"/>
              </w:rPr>
              <w:t> </w:t>
            </w:r>
            <w:r>
              <w:rPr>
                <w:rFonts w:ascii="Times New Roman" w:hAnsi="Times New Roman"/>
                <w:i/>
                <w:caps w:val="false"/>
                <w:smallCaps w:val="false"/>
                <w:sz w:val="20"/>
              </w:rPr>
              <w:t>or</w:t>
            </w:r>
            <w:r>
              <w:rPr>
                <w:rFonts w:ascii="Times New Roman" w:hAnsi="Times New Roman"/>
                <w:caps w:val="false"/>
                <w:smallCaps w:val="false"/>
                <w:sz w:val="20"/>
              </w:rPr>
              <w:t> </w:t>
            </w:r>
            <w:r>
              <w:rPr>
                <w:rFonts w:ascii="Times New Roman" w:hAnsi="Times New Roman"/>
                <w:i/>
                <w:caps w:val="false"/>
                <w:smallCaps w:val="false"/>
                <w:sz w:val="20"/>
              </w:rPr>
              <w:t>other</w:t>
            </w:r>
            <w:r>
              <w:rPr>
                <w:rFonts w:ascii="Times New Roman" w:hAnsi="Times New Roman"/>
                <w:caps w:val="false"/>
                <w:smallCaps w:val="false"/>
                <w:sz w:val="20"/>
              </w:rPr>
              <w:t> </w:t>
            </w:r>
            <w:r>
              <w:rPr>
                <w:rFonts w:ascii="Times New Roman" w:hAnsi="Times New Roman"/>
                <w:i/>
                <w:caps w:val="false"/>
                <w:smallCaps w:val="false"/>
                <w:sz w:val="20"/>
              </w:rPr>
              <w:t>jurisdiction</w:t>
            </w:r>
            <w:r>
              <w:rPr>
                <w:rFonts w:ascii="Times New Roman" w:hAnsi="Times New Roman"/>
                <w:caps w:val="false"/>
                <w:smallCaps w:val="false"/>
                <w:sz w:val="20"/>
              </w:rPr>
              <w:t> </w:t>
            </w:r>
            <w:r>
              <w:rPr>
                <w:rFonts w:ascii="Times New Roman" w:hAnsi="Times New Roman"/>
                <w:i/>
                <w:caps w:val="false"/>
                <w:smallCaps w:val="false"/>
                <w:sz w:val="20"/>
              </w:rPr>
              <w:t>of</w:t>
            </w:r>
          </w:p>
        </w:tc>
        <w:tc>
          <w:tcPr>
            <w:tcW w:w="18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(I.R.S.</w:t>
            </w:r>
            <w:r>
              <w:rPr>
                <w:rFonts w:ascii="Times New Roman" w:hAnsi="Times New Roman"/>
                <w:caps w:val="false"/>
                <w:smallCaps w:val="false"/>
                <w:sz w:val="20"/>
              </w:rPr>
              <w:t>  </w:t>
            </w:r>
            <w:r>
              <w:rPr>
                <w:rFonts w:ascii="Times New Roman" w:hAnsi="Times New Roman"/>
                <w:i/>
                <w:caps w:val="false"/>
                <w:smallCaps w:val="false"/>
                <w:sz w:val="20"/>
              </w:rPr>
              <w:t>Employer</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incorporation</w:t>
            </w:r>
            <w:r>
              <w:rPr>
                <w:rFonts w:ascii="Times New Roman" w:hAnsi="Times New Roman"/>
                <w:caps w:val="false"/>
                <w:smallCaps w:val="false"/>
                <w:sz w:val="20"/>
              </w:rPr>
              <w:t> </w:t>
            </w:r>
            <w:r>
              <w:rPr>
                <w:rFonts w:ascii="Times New Roman" w:hAnsi="Times New Roman"/>
                <w:i/>
                <w:caps w:val="false"/>
                <w:smallCaps w:val="false"/>
                <w:sz w:val="20"/>
              </w:rPr>
              <w:t>or</w:t>
            </w:r>
            <w:r>
              <w:rPr>
                <w:rFonts w:ascii="Times New Roman" w:hAnsi="Times New Roman"/>
                <w:caps w:val="false"/>
                <w:smallCaps w:val="false"/>
                <w:sz w:val="20"/>
              </w:rPr>
              <w:t> </w:t>
            </w:r>
            <w:r>
              <w:rPr>
                <w:rFonts w:ascii="Times New Roman" w:hAnsi="Times New Roman"/>
                <w:i/>
                <w:caps w:val="false"/>
                <w:smallCaps w:val="false"/>
                <w:sz w:val="20"/>
              </w:rPr>
              <w:t>organization)</w:t>
            </w:r>
          </w:p>
        </w:tc>
        <w:tc>
          <w:tcPr>
            <w:tcW w:w="18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Identification</w:t>
            </w:r>
            <w:r>
              <w:rPr>
                <w:rFonts w:ascii="Times New Roman" w:hAnsi="Times New Roman"/>
                <w:caps w:val="false"/>
                <w:smallCaps w:val="false"/>
                <w:sz w:val="20"/>
              </w:rPr>
              <w:t> </w:t>
            </w:r>
            <w:r>
              <w:rPr>
                <w:rFonts w:ascii="Times New Roman" w:hAnsi="Times New Roman"/>
                <w:i/>
                <w:caps w:val="false"/>
                <w:smallCaps w:val="false"/>
                <w:sz w:val="20"/>
              </w:rPr>
              <w:t>Number)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6801 N. Capital of Texas Highway, Building 1; Suite 300, Austin, TX 78731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(512) 501-2444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(Address, including zip code, of registrant</w:t>
      </w:r>
      <w:r>
        <w:rPr>
          <w:rFonts w:ascii="Times New Roman" w:hAnsi="Times New Roman"/>
          <w:caps w:val="false"/>
          <w:smallCaps w:val="false"/>
          <w:sz w:val="20"/>
        </w:rPr>
        <w:t>’</w:t>
      </w:r>
      <w:r>
        <w:rPr>
          <w:rFonts w:ascii="Times New Roman" w:hAnsi="Times New Roman"/>
          <w:i/>
          <w:caps w:val="false"/>
          <w:smallCaps w:val="false"/>
          <w:sz w:val="20"/>
        </w:rPr>
        <w:t>s principal executive offices and</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410" w:type="dxa"/>
        <w:jc w:val="left"/>
        <w:tblInd w:w="0" w:type="dxa"/>
        <w:tblLayout w:type="fixed"/>
        <w:tblCellMar>
          <w:top w:w="0" w:type="dxa"/>
          <w:left w:w="0" w:type="dxa"/>
          <w:bottom w:w="28" w:type="dxa"/>
          <w:right w:w="0" w:type="dxa"/>
        </w:tblCellMar>
      </w:tblPr>
      <w:tblGrid>
        <w:gridCol w:w="2735"/>
        <w:gridCol w:w="60"/>
        <w:gridCol w:w="860"/>
        <w:gridCol w:w="60"/>
        <w:gridCol w:w="369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$0.001 par value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FLNA</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60"/>
        <w:gridCol w:w="2135"/>
        <w:gridCol w:w="2570"/>
      </w:tblGrid>
      <w:tr>
        <w:trPr/>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60" w:type="dxa"/>
            <w:tcBorders/>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pPr>
            <w:r>
              <w:rPr/>
              <w:t> </w:t>
            </w:r>
          </w:p>
        </w:tc>
        <w:tc>
          <w:tcPr>
            <w:tcW w:w="25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60"/>
        <w:gridCol w:w="2735"/>
        <w:gridCol w:w="3170"/>
        <w:gridCol w:w="60"/>
      </w:tblGrid>
      <w:tr>
        <w:trPr/>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Common Stock, $0.001 par value</w:t>
            </w:r>
          </w:p>
        </w:tc>
        <w:tc>
          <w:tcPr>
            <w:tcW w:w="3170" w:type="dxa"/>
            <w:tcBorders/>
            <w:vAlign w:val="center"/>
          </w:tcPr>
          <w:p>
            <w:pPr>
              <w:pStyle w:val="TableContents"/>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48,307,896</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Shares Outstanding as of July 27, 2026</w:t>
            </w:r>
          </w:p>
        </w:tc>
        <w:tc>
          <w:tcPr>
            <w:tcW w:w="6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FILANA THERAPEUTICS, INC.</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5"/>
        <w:gridCol w:w="8659"/>
        <w:gridCol w:w="671"/>
      </w:tblGrid>
      <w:tr>
        <w:trPr/>
        <w:tc>
          <w:tcPr>
            <w:tcW w:w="875" w:type="dxa"/>
            <w:tcBorders/>
            <w:vAlign w:val="center"/>
          </w:tcPr>
          <w:p>
            <w:pPr>
              <w:pStyle w:val="TableContents"/>
              <w:bidi w:val="0"/>
              <w:spacing w:before="0" w:after="283"/>
              <w:jc w:val="left"/>
              <w:rPr/>
            </w:pPr>
            <w:r>
              <w:rPr/>
              <w:t> </w:t>
            </w:r>
          </w:p>
        </w:tc>
        <w:tc>
          <w:tcPr>
            <w:tcW w:w="8659"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0"/>
              <w:ind w:left="0" w:right="0" w:hanging="0"/>
              <w:jc w:val="right"/>
              <w:rPr>
                <w:rFonts w:ascii="Times New Roman" w:hAnsi="Times New Roman"/>
                <w:caps w:val="false"/>
                <w:smallCaps w:val="false"/>
                <w:sz w:val="20"/>
                <w:u w:val="single"/>
              </w:rPr>
            </w:pPr>
            <w:r>
              <w:rPr>
                <w:rFonts w:ascii="Times New Roman" w:hAnsi="Times New Roman"/>
                <w:caps w:val="false"/>
                <w:smallCaps w:val="false"/>
                <w:sz w:val="20"/>
                <w:u w:val="single"/>
              </w:rPr>
              <w:t>Page No.</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w:t>
            </w:r>
          </w:p>
        </w:tc>
        <w:tc>
          <w:tcPr>
            <w:tcW w:w="86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FINANCIAL INFORMATION</w:t>
            </w:r>
          </w:p>
        </w:tc>
        <w:tc>
          <w:tcPr>
            <w:tcW w:w="671"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659" w:type="dxa"/>
            <w:tcBorders/>
            <w:shd w:fill="CCEEFF" w:val="clear"/>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Financial Statements</w:t>
              </w:r>
            </w:hyperlink>
          </w:p>
        </w:tc>
        <w:tc>
          <w:tcPr>
            <w:tcW w:w="671" w:type="dxa"/>
            <w:tcBorders/>
            <w:shd w:fill="CCEEFF" w:val="clear"/>
            <w:vAlign w:val="center"/>
          </w:tcPr>
          <w:p>
            <w:pPr>
              <w:pStyle w:val="TableContents"/>
              <w:bidi w:val="0"/>
              <w:spacing w:before="0" w:after="283"/>
              <w:jc w:val="righ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 </w:t>
            </w:r>
          </w:p>
        </w:tc>
        <w:tc>
          <w:tcPr>
            <w:tcW w:w="8659" w:type="dxa"/>
            <w:tcBorders/>
            <w:shd w:fill="CCEEFF" w:val="clear"/>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Condensed Consolidated Balance Sheets – June 30, 2026 and December 31, 2025</w:t>
              </w:r>
            </w:hyperlink>
          </w:p>
        </w:tc>
        <w:tc>
          <w:tcPr>
            <w:tcW w:w="671" w:type="dxa"/>
            <w:tcBorders/>
            <w:shd w:fill="CCEEFF" w:val="clear"/>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 </w:t>
            </w:r>
          </w:p>
        </w:tc>
        <w:tc>
          <w:tcPr>
            <w:tcW w:w="8659" w:type="dxa"/>
            <w:tcBorders/>
            <w:shd w:fill="CCEEFF" w:val="clear"/>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Condensed Consolidated Statements of Operations – Three and Six Months Ended June 30, 2026 and 2025</w:t>
              </w:r>
            </w:hyperlink>
          </w:p>
        </w:tc>
        <w:tc>
          <w:tcPr>
            <w:tcW w:w="671" w:type="dxa"/>
            <w:tcBorders/>
            <w:shd w:fill="CCEEFF" w:val="clear"/>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 </w:t>
            </w:r>
          </w:p>
        </w:tc>
        <w:tc>
          <w:tcPr>
            <w:tcW w:w="8659" w:type="dxa"/>
            <w:tcBorders/>
            <w:shd w:fill="CCEEFF" w:val="clear"/>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 xml:space="preserve">Condensed Consolidated Statements of Changes in Stockholders’ Equity </w:t>
              </w:r>
            </w:hyperlink>
            <w:hyperlink w:anchor="income">
              <w:r>
                <w:rPr>
                  <w:rStyle w:val="InternetLink"/>
                  <w:rFonts w:ascii="Times New Roman" w:hAnsi="Times New Roman"/>
                  <w:caps w:val="false"/>
                  <w:smallCaps w:val="false"/>
                  <w:sz w:val="20"/>
                </w:rPr>
                <w:t>–</w:t>
              </w:r>
            </w:hyperlink>
            <w:hyperlink w:anchor="equity">
              <w:r>
                <w:rPr>
                  <w:rStyle w:val="InternetLink"/>
                  <w:rFonts w:ascii="Times New Roman" w:hAnsi="Times New Roman"/>
                  <w:caps w:val="false"/>
                  <w:smallCaps w:val="false"/>
                  <w:sz w:val="20"/>
                </w:rPr>
                <w:t xml:space="preserve"> Three and Six Months Ended June 30, 2026 and 2025</w:t>
              </w:r>
            </w:hyperlink>
          </w:p>
        </w:tc>
        <w:tc>
          <w:tcPr>
            <w:tcW w:w="671" w:type="dxa"/>
            <w:tcBorders/>
            <w:shd w:fill="CCEEFF" w:val="clear"/>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5</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 </w:t>
            </w:r>
          </w:p>
        </w:tc>
        <w:tc>
          <w:tcPr>
            <w:tcW w:w="8659" w:type="dxa"/>
            <w:tcBorders/>
            <w:shd w:fill="CCEEFF" w:val="clear"/>
            <w:vAlign w:val="center"/>
          </w:tcPr>
          <w:p>
            <w:pPr>
              <w:pStyle w:val="TableContents"/>
              <w:bidi w:val="0"/>
              <w:spacing w:before="0" w:after="0"/>
              <w:ind w:left="0" w:right="0" w:hanging="0"/>
              <w:jc w:val="left"/>
              <w:rPr/>
            </w:pPr>
            <w:hyperlink w:anchor="cashflow">
              <w:r>
                <w:rPr>
                  <w:rStyle w:val="InternetLink"/>
                  <w:rFonts w:ascii="Times New Roman" w:hAnsi="Times New Roman"/>
                  <w:caps w:val="false"/>
                  <w:smallCaps w:val="false"/>
                  <w:sz w:val="20"/>
                </w:rPr>
                <w:t>Condensed Consolidated Statements of Cash Flows – Six Months Ended June 30, 2026 and 2025</w:t>
              </w:r>
            </w:hyperlink>
          </w:p>
        </w:tc>
        <w:tc>
          <w:tcPr>
            <w:tcW w:w="671" w:type="dxa"/>
            <w:tcBorders/>
            <w:shd w:fill="CCEEFF" w:val="clear"/>
            <w:vAlign w:val="center"/>
          </w:tcPr>
          <w:p>
            <w:pPr>
              <w:pStyle w:val="TableContents"/>
              <w:bidi w:val="0"/>
              <w:spacing w:before="0" w:after="0"/>
              <w:ind w:left="0" w:right="0" w:hanging="0"/>
              <w:jc w:val="right"/>
              <w:rPr/>
            </w:pPr>
            <w:hyperlink w:anchor="cashflow">
              <w:r>
                <w:rPr>
                  <w:rStyle w:val="InternetLink"/>
                  <w:rFonts w:ascii="Times New Roman" w:hAnsi="Times New Roman"/>
                  <w:caps w:val="false"/>
                  <w:smallCaps w:val="false"/>
                  <w:sz w:val="20"/>
                </w:rPr>
                <w:t>6</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283"/>
              <w:jc w:val="left"/>
              <w:rPr/>
            </w:pPr>
            <w:r>
              <w:rPr/>
              <w:t> </w:t>
            </w:r>
          </w:p>
        </w:tc>
        <w:tc>
          <w:tcPr>
            <w:tcW w:w="8659" w:type="dxa"/>
            <w:tcBorders/>
            <w:shd w:fill="CCEEFF" w:val="clear"/>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Condensed Consolidated Financial Statements</w:t>
              </w:r>
            </w:hyperlink>
          </w:p>
        </w:tc>
        <w:tc>
          <w:tcPr>
            <w:tcW w:w="671" w:type="dxa"/>
            <w:tcBorders/>
            <w:shd w:fill="CCEEFF" w:val="clear"/>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659" w:type="dxa"/>
            <w:tcBorders/>
            <w:shd w:fill="CCEEFF" w:val="clear"/>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671" w:type="dxa"/>
            <w:tcBorders/>
            <w:shd w:fill="CCEEFF" w:val="clear"/>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17</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659" w:type="dxa"/>
            <w:tcBorders/>
            <w:shd w:fill="CCEEFF" w:val="clear"/>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Quantitative and Qualitative Disclosures About Market Risk</w:t>
              </w:r>
            </w:hyperlink>
          </w:p>
        </w:tc>
        <w:tc>
          <w:tcPr>
            <w:tcW w:w="671" w:type="dxa"/>
            <w:tcBorders/>
            <w:shd w:fill="CCEEFF" w:val="clear"/>
            <w:vAlign w:val="center"/>
          </w:tcPr>
          <w:p>
            <w:pPr>
              <w:pStyle w:val="TableContents"/>
              <w:bidi w:val="0"/>
              <w:spacing w:before="0" w:after="0"/>
              <w:ind w:left="0" w:right="0" w:hanging="0"/>
              <w:jc w:val="right"/>
              <w:rPr/>
            </w:pPr>
            <w:hyperlink w:anchor="qqd">
              <w:r>
                <w:rPr>
                  <w:rStyle w:val="InternetLink"/>
                  <w:rFonts w:ascii="Times New Roman" w:hAnsi="Times New Roman"/>
                  <w:caps w:val="false"/>
                  <w:smallCaps w:val="false"/>
                  <w:sz w:val="20"/>
                </w:rPr>
                <w:t>27</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659" w:type="dxa"/>
            <w:tcBorders/>
            <w:shd w:fill="CCEEFF" w:val="clear"/>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671" w:type="dxa"/>
            <w:tcBorders/>
            <w:shd w:fill="CCEEFF" w:val="clear"/>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27</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II.</w:t>
            </w:r>
          </w:p>
        </w:tc>
        <w:tc>
          <w:tcPr>
            <w:tcW w:w="865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INFORMATION</w:t>
            </w:r>
          </w:p>
        </w:tc>
        <w:tc>
          <w:tcPr>
            <w:tcW w:w="671" w:type="dxa"/>
            <w:tcBorders/>
            <w:shd w:fill="CCEEFF" w:val="clear"/>
            <w:vAlign w:val="center"/>
          </w:tcPr>
          <w:p>
            <w:pPr>
              <w:pStyle w:val="TableContents"/>
              <w:bidi w:val="0"/>
              <w:spacing w:before="0" w:after="283"/>
              <w:jc w:val="left"/>
              <w:rPr/>
            </w:pPr>
            <w:r>
              <w:rPr/>
              <w:t> </w:t>
            </w:r>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1.</w:t>
            </w:r>
          </w:p>
        </w:tc>
        <w:tc>
          <w:tcPr>
            <w:tcW w:w="8659" w:type="dxa"/>
            <w:tcBorders/>
            <w:shd w:fill="CCEEFF" w:val="clear"/>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671" w:type="dxa"/>
            <w:tcBorders/>
            <w:shd w:fill="CCEEFF" w:val="clear"/>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27</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1A</w:t>
            </w:r>
          </w:p>
        </w:tc>
        <w:tc>
          <w:tcPr>
            <w:tcW w:w="8659" w:type="dxa"/>
            <w:tcBorders/>
            <w:shd w:fill="CCEEFF" w:val="clear"/>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671" w:type="dxa"/>
            <w:tcBorders/>
            <w:shd w:fill="CCEEFF" w:val="clear"/>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27</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2.</w:t>
            </w:r>
          </w:p>
        </w:tc>
        <w:tc>
          <w:tcPr>
            <w:tcW w:w="8659" w:type="dxa"/>
            <w:tcBorders/>
            <w:shd w:fill="CCEEFF" w:val="clear"/>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671" w:type="dxa"/>
            <w:tcBorders/>
            <w:shd w:fill="CCEEFF" w:val="clear"/>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28</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3.</w:t>
            </w:r>
          </w:p>
        </w:tc>
        <w:tc>
          <w:tcPr>
            <w:tcW w:w="8659" w:type="dxa"/>
            <w:tcBorders/>
            <w:shd w:fill="CCEEFF" w:val="clear"/>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671" w:type="dxa"/>
            <w:tcBorders/>
            <w:shd w:fill="CCEEFF" w:val="clear"/>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28</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4.</w:t>
            </w:r>
          </w:p>
        </w:tc>
        <w:tc>
          <w:tcPr>
            <w:tcW w:w="8659" w:type="dxa"/>
            <w:tcBorders/>
            <w:shd w:fill="CCEEFF" w:val="clear"/>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671" w:type="dxa"/>
            <w:tcBorders/>
            <w:shd w:fill="CCEEFF" w:val="clear"/>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28</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5.</w:t>
            </w:r>
          </w:p>
        </w:tc>
        <w:tc>
          <w:tcPr>
            <w:tcW w:w="8659" w:type="dxa"/>
            <w:tcBorders/>
            <w:shd w:fill="CCEEFF" w:val="clear"/>
            <w:vAlign w:val="center"/>
          </w:tcPr>
          <w:p>
            <w:pPr>
              <w:pStyle w:val="TableContents"/>
              <w:bidi w:val="0"/>
              <w:spacing w:before="0" w:after="0"/>
              <w:ind w:left="0" w:right="0" w:hanging="0"/>
              <w:jc w:val="left"/>
              <w:rPr/>
            </w:pPr>
            <w:hyperlink w:anchor="other">
              <w:r>
                <w:rPr>
                  <w:rStyle w:val="InternetLink"/>
                  <w:rFonts w:ascii="Times New Roman" w:hAnsi="Times New Roman"/>
                  <w:caps w:val="false"/>
                  <w:smallCaps w:val="false"/>
                  <w:sz w:val="20"/>
                </w:rPr>
                <w:t>Other Information</w:t>
              </w:r>
            </w:hyperlink>
          </w:p>
        </w:tc>
        <w:tc>
          <w:tcPr>
            <w:tcW w:w="671" w:type="dxa"/>
            <w:tcBorders/>
            <w:shd w:fill="CCEEFF" w:val="clear"/>
            <w:vAlign w:val="center"/>
          </w:tcPr>
          <w:p>
            <w:pPr>
              <w:pStyle w:val="TableContents"/>
              <w:bidi w:val="0"/>
              <w:spacing w:before="0" w:after="0"/>
              <w:ind w:left="0" w:right="0" w:hanging="0"/>
              <w:jc w:val="right"/>
              <w:rPr/>
            </w:pPr>
            <w:hyperlink w:anchor="other">
              <w:r>
                <w:rPr>
                  <w:rStyle w:val="InternetLink"/>
                  <w:rFonts w:ascii="Times New Roman" w:hAnsi="Times New Roman"/>
                  <w:caps w:val="false"/>
                  <w:smallCaps w:val="false"/>
                  <w:sz w:val="20"/>
                </w:rPr>
                <w:t>28</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Item 6.</w:t>
            </w:r>
          </w:p>
        </w:tc>
        <w:tc>
          <w:tcPr>
            <w:tcW w:w="8659" w:type="dxa"/>
            <w:tcBorders/>
            <w:shd w:fill="CCEEFF" w:val="clear"/>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671" w:type="dxa"/>
            <w:tcBorders/>
            <w:shd w:fill="CCEEFF" w:val="clear"/>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29</w:t>
              </w:r>
            </w:hyperlink>
          </w:p>
        </w:tc>
      </w:tr>
      <w:tr>
        <w:trPr/>
        <w:tc>
          <w:tcPr>
            <w:tcW w:w="875" w:type="dxa"/>
            <w:tcBorders/>
            <w:shd w:fill="FFFFFF" w:val="clear"/>
            <w:vAlign w:val="center"/>
          </w:tcPr>
          <w:p>
            <w:pPr>
              <w:pStyle w:val="TableContents"/>
              <w:bidi w:val="0"/>
              <w:spacing w:before="0" w:after="283"/>
              <w:jc w:val="left"/>
              <w:rPr/>
            </w:pPr>
            <w:r>
              <w:rPr/>
              <w:t> </w:t>
            </w:r>
          </w:p>
        </w:tc>
        <w:tc>
          <w:tcPr>
            <w:tcW w:w="865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r>
      <w:tr>
        <w:trPr/>
        <w:tc>
          <w:tcPr>
            <w:tcW w:w="875" w:type="dxa"/>
            <w:tcBorders/>
            <w:shd w:fill="CCEEFF" w:val="clear"/>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9330" w:type="dxa"/>
            <w:gridSpan w:val="2"/>
            <w:tcBorders/>
            <w:shd w:fill="CCEEFF" w:val="clear"/>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30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Item 1. </w:t>
      </w:r>
      <w:r>
        <w:rPr>
          <w:rFonts w:ascii="Times New Roman" w:hAnsi="Times New Roman"/>
          <w:b/>
          <w:i/>
          <w:caps w:val="false"/>
          <w:smallCaps w:val="false"/>
          <w:sz w:val="20"/>
        </w:rPr>
        <w:t>Financial Statements</w:t>
      </w:r>
    </w:p>
    <w:p>
      <w:pPr>
        <w:pStyle w:val="TextBody"/>
        <w:bidi w:val="0"/>
        <w:spacing w:before="0" w:after="0"/>
        <w:ind w:left="0" w:right="0" w:hanging="0"/>
        <w:jc w:val="center"/>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0"/>
        </w:rPr>
      </w:pPr>
      <w:bookmarkStart w:id="3" w:name="bs"/>
      <w:bookmarkEnd w:id="3"/>
      <w:r>
        <w:rPr>
          <w:rFonts w:ascii="Times New Roman" w:hAnsi="Times New Roman"/>
          <w:b/>
          <w:sz w:val="20"/>
        </w:rPr>
        <w:t>FILANA THERAPEUTICS, INC.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 except share and par value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59"/>
        <w:gridCol w:w="60"/>
        <w:gridCol w:w="150"/>
        <w:gridCol w:w="909"/>
        <w:gridCol w:w="80"/>
        <w:gridCol w:w="60"/>
        <w:gridCol w:w="185"/>
        <w:gridCol w:w="1119"/>
        <w:gridCol w:w="83"/>
      </w:tblGrid>
      <w:tr>
        <w:trPr/>
        <w:tc>
          <w:tcPr>
            <w:tcW w:w="75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0122" w:type="dxa"/>
            <w:gridSpan w:val="8"/>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w:t>
            </w:r>
          </w:p>
        </w:tc>
        <w:tc>
          <w:tcPr>
            <w:tcW w:w="83"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95,502</w:t>
            </w:r>
          </w:p>
        </w:tc>
        <w:tc>
          <w:tcPr>
            <w:tcW w:w="83"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2,207</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97,709</w:t>
            </w:r>
          </w:p>
        </w:tc>
        <w:tc>
          <w:tcPr>
            <w:tcW w:w="83"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20,646</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118,355</w:t>
            </w:r>
          </w:p>
        </w:tc>
        <w:tc>
          <w:tcPr>
            <w:tcW w:w="83"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0122" w:type="dxa"/>
            <w:gridSpan w:val="8"/>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LIABILITIES AND STOCKHOLDERS' EQUITY</w:t>
            </w:r>
          </w:p>
        </w:tc>
        <w:tc>
          <w:tcPr>
            <w:tcW w:w="83"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41,647</w:t>
            </w:r>
          </w:p>
        </w:tc>
        <w:tc>
          <w:tcPr>
            <w:tcW w:w="83"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development expense</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w:t>
            </w:r>
          </w:p>
        </w:tc>
        <w:tc>
          <w:tcPr>
            <w:tcW w:w="83"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43,834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50" w:type="dxa"/>
            <w:tcBorders/>
            <w:shd w:fill="FFFFFF" w:val="clear"/>
            <w:vAlign w:val="center"/>
          </w:tcPr>
          <w:p>
            <w:pPr>
              <w:pStyle w:val="TableContents"/>
              <w:bidi w:val="0"/>
              <w:spacing w:before="0" w:after="0"/>
              <w:ind w:left="0" w:right="0" w:hanging="0"/>
              <w:jc w:val="left"/>
              <w:rPr/>
            </w:pPr>
            <w:r>
              <w:rPr/>
              <w:t> </w:t>
            </w:r>
          </w:p>
        </w:tc>
        <w:tc>
          <w:tcPr>
            <w:tcW w:w="90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1119" w:type="dxa"/>
            <w:tcBorders/>
            <w:shd w:fill="FFFF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43,952</w:t>
            </w:r>
          </w:p>
        </w:tc>
        <w:tc>
          <w:tcPr>
            <w:tcW w:w="83" w:type="dxa"/>
            <w:tcBorders/>
            <w:shd w:fill="CCEEFF" w:val="clear"/>
            <w:vAlign w:val="center"/>
          </w:tcPr>
          <w:p>
            <w:pPr>
              <w:pStyle w:val="TableContents"/>
              <w:bidi w:val="0"/>
              <w:spacing w:before="0" w:after="0"/>
              <w:jc w:val="left"/>
              <w:rPr/>
            </w:pPr>
            <w:r>
              <w:rPr/>
              <w:t> </w:t>
            </w:r>
          </w:p>
        </w:tc>
      </w:tr>
      <w:tr>
        <w:trPr/>
        <w:tc>
          <w:tcPr>
            <w:tcW w:w="755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(Notes 8, 9 and 10)</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19"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19"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$0.001 par value; 10,000,000 shares authorized, none issued and outstanding</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$0.001 par value; 120,000,000 shares authorized; 48,307,896 shares issued and outstanding at June 30, 2026 and December 31, 2025</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1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3" w:type="dxa"/>
            <w:tcBorders/>
            <w:shd w:fill="CCEEFF" w:val="clear"/>
            <w:vAlign w:val="center"/>
          </w:tcPr>
          <w:p>
            <w:pPr>
              <w:pStyle w:val="TableContents"/>
              <w:bidi w:val="0"/>
              <w:spacing w:before="0" w:after="283"/>
              <w:jc w:val="left"/>
              <w:rPr/>
            </w:pPr>
            <w:r>
              <w:rPr/>
              <w:t> </w:t>
            </w:r>
          </w:p>
        </w:tc>
      </w:tr>
      <w:tr>
        <w:trPr/>
        <w:tc>
          <w:tcPr>
            <w:tcW w:w="7559"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578,579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1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570,439</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5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(496,084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59"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74,403</w:t>
            </w:r>
          </w:p>
        </w:tc>
        <w:tc>
          <w:tcPr>
            <w:tcW w:w="83" w:type="dxa"/>
            <w:tcBorders/>
            <w:shd w:fill="FFFFFF" w:val="clear"/>
            <w:vAlign w:val="center"/>
          </w:tcPr>
          <w:p>
            <w:pPr>
              <w:pStyle w:val="TableContents"/>
              <w:bidi w:val="0"/>
              <w:spacing w:before="0" w:after="283"/>
              <w:jc w:val="left"/>
              <w:rPr/>
            </w:pPr>
            <w:r>
              <w:rPr/>
              <w:t> </w:t>
            </w:r>
          </w:p>
        </w:tc>
      </w:tr>
      <w:tr>
        <w:trPr/>
        <w:tc>
          <w:tcPr>
            <w:tcW w:w="7559"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103,903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118,355</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280" w:right="0" w:hanging="28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0"/>
        </w:rPr>
      </w:pPr>
      <w:bookmarkStart w:id="4" w:name="income"/>
      <w:bookmarkEnd w:id="4"/>
      <w:r>
        <w:rPr>
          <w:rFonts w:ascii="Times New Roman" w:hAnsi="Times New Roman"/>
          <w:b/>
          <w:sz w:val="20"/>
        </w:rPr>
        <w:t>FILANA THERAPEUTICS, INC.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OPERATIONS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 except per share data)</w:t>
      </w:r>
    </w:p>
    <w:p>
      <w:pPr>
        <w:pStyle w:val="TextBody"/>
        <w:bidi w:val="0"/>
        <w:spacing w:before="0" w:after="0"/>
        <w:ind w:left="0" w:right="0" w:hanging="0"/>
        <w:jc w:val="left"/>
        <w:rPr/>
      </w:pPr>
      <w:r>
        <w:rPr/>
        <w:t> </w:t>
      </w:r>
    </w:p>
    <w:tbl>
      <w:tblPr>
        <w:tblW w:w="6567" w:type="dxa"/>
        <w:jc w:val="left"/>
        <w:tblInd w:w="0" w:type="dxa"/>
        <w:tblLayout w:type="fixed"/>
        <w:tblCellMar>
          <w:top w:w="0" w:type="dxa"/>
          <w:left w:w="0" w:type="dxa"/>
          <w:bottom w:w="0" w:type="dxa"/>
          <w:right w:w="0" w:type="dxa"/>
        </w:tblCellMar>
      </w:tblPr>
      <w:tblGrid>
        <w:gridCol w:w="2915"/>
        <w:gridCol w:w="60"/>
        <w:gridCol w:w="132"/>
        <w:gridCol w:w="579"/>
        <w:gridCol w:w="85"/>
        <w:gridCol w:w="63"/>
        <w:gridCol w:w="132"/>
        <w:gridCol w:w="691"/>
        <w:gridCol w:w="80"/>
        <w:gridCol w:w="60"/>
        <w:gridCol w:w="125"/>
        <w:gridCol w:w="650"/>
        <w:gridCol w:w="80"/>
        <w:gridCol w:w="60"/>
        <w:gridCol w:w="125"/>
        <w:gridCol w:w="650"/>
        <w:gridCol w:w="80"/>
      </w:tblGrid>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18,782</w:t>
            </w:r>
          </w:p>
        </w:tc>
        <w:tc>
          <w:tcPr>
            <w:tcW w:w="8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6,090</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51,196</w:t>
            </w:r>
          </w:p>
        </w:tc>
        <w:tc>
          <w:tcPr>
            <w:tcW w:w="8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9,393</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69,978</w:t>
            </w:r>
          </w:p>
        </w:tc>
        <w:tc>
          <w:tcPr>
            <w:tcW w:w="8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(9,393</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(20,561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w:t>
            </w:r>
          </w:p>
        </w:tc>
        <w:tc>
          <w:tcPr>
            <w:tcW w:w="80"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 net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(8,603</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0"/>
        </w:rPr>
      </w:pPr>
      <w:bookmarkStart w:id="5" w:name="equity"/>
      <w:bookmarkEnd w:id="5"/>
      <w:r>
        <w:rPr>
          <w:rFonts w:ascii="Times New Roman" w:hAnsi="Times New Roman"/>
          <w:b/>
          <w:sz w:val="20"/>
        </w:rPr>
        <w:t>FILANA THERAPEUTICS, INC.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STOCKHOLDERS' EQUITY</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 except share data)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92"/>
        <w:gridCol w:w="60"/>
        <w:gridCol w:w="60"/>
        <w:gridCol w:w="950"/>
        <w:gridCol w:w="60"/>
        <w:gridCol w:w="60"/>
        <w:gridCol w:w="241"/>
        <w:gridCol w:w="504"/>
        <w:gridCol w:w="60"/>
        <w:gridCol w:w="60"/>
        <w:gridCol w:w="180"/>
        <w:gridCol w:w="1003"/>
        <w:gridCol w:w="60"/>
        <w:gridCol w:w="60"/>
        <w:gridCol w:w="158"/>
        <w:gridCol w:w="957"/>
        <w:gridCol w:w="80"/>
        <w:gridCol w:w="60"/>
        <w:gridCol w:w="170"/>
        <w:gridCol w:w="947"/>
        <w:gridCol w:w="83"/>
      </w:tblGrid>
      <w:tr>
        <w:trPr/>
        <w:tc>
          <w:tcPr>
            <w:tcW w:w="43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3" w:type="dxa"/>
            <w:tcBorders/>
            <w:shd w:fill="FFFFFF" w:val="clear"/>
            <w:vAlign w:val="center"/>
          </w:tcPr>
          <w:p>
            <w:pPr>
              <w:pStyle w:val="TableContents"/>
              <w:bidi w:val="0"/>
              <w:spacing w:before="0" w:after="283"/>
              <w:jc w:val="left"/>
              <w:rPr/>
            </w:pPr>
            <w:r>
              <w:rPr/>
              <w:t> </w:t>
            </w:r>
          </w:p>
        </w:tc>
      </w:tr>
      <w:tr>
        <w:trPr/>
        <w:tc>
          <w:tcPr>
            <w:tcW w:w="439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48,203,179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550,767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(405,111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145,704</w:t>
            </w:r>
          </w:p>
        </w:tc>
        <w:tc>
          <w:tcPr>
            <w:tcW w:w="83" w:type="dxa"/>
            <w:tcBorders/>
            <w:shd w:fill="CCEE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439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options for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ind w:left="0" w:right="0" w:hanging="0"/>
              <w:jc w:val="left"/>
              <w:rPr/>
            </w:pPr>
            <w:r>
              <w:rPr/>
              <w:t> </w:t>
            </w:r>
          </w:p>
        </w:tc>
        <w:tc>
          <w:tcPr>
            <w:tcW w:w="5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0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5,189</w:t>
            </w:r>
          </w:p>
        </w:tc>
        <w:tc>
          <w:tcPr>
            <w:tcW w:w="83" w:type="dxa"/>
            <w:tcBorders/>
            <w:shd w:fill="CCEE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options for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ind w:left="0" w:right="0" w:hanging="0"/>
              <w:jc w:val="left"/>
              <w:rPr/>
            </w:pPr>
            <w:r>
              <w:rPr/>
              <w:t> </w:t>
            </w:r>
          </w:p>
        </w:tc>
        <w:tc>
          <w:tcPr>
            <w:tcW w:w="50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0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83" w:type="dxa"/>
            <w:tcBorders/>
            <w:shd w:fill="FFFFFF" w:val="clear"/>
            <w:vAlign w:val="center"/>
          </w:tcPr>
          <w:p>
            <w:pPr>
              <w:pStyle w:val="TableContents"/>
              <w:bidi w:val="0"/>
              <w:spacing w:before="0" w:after="283"/>
              <w:jc w:val="left"/>
              <w:rPr/>
            </w:pPr>
            <w:r>
              <w:rPr/>
              <w:t> </w:t>
            </w:r>
          </w:p>
        </w:tc>
      </w:tr>
      <w:tr>
        <w:trPr/>
        <w:tc>
          <w:tcPr>
            <w:tcW w:w="4392"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Issuance of common stock pursuant to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104,717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w:t>
            </w:r>
          </w:p>
        </w:tc>
        <w:tc>
          <w:tcPr>
            <w:tcW w:w="83" w:type="dxa"/>
            <w:tcBorders/>
            <w:shd w:fill="CCEE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(23,403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(23,403</w:t>
            </w:r>
          </w:p>
        </w:tc>
        <w:tc>
          <w:tcPr>
            <w:tcW w:w="83"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39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48,307,896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556,082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(428,514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127,616</w:t>
            </w:r>
          </w:p>
        </w:tc>
        <w:tc>
          <w:tcPr>
            <w:tcW w:w="83" w:type="dxa"/>
            <w:tcBorders/>
            <w:shd w:fill="CCEE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4392"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 options for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4,545</w:t>
            </w:r>
          </w:p>
        </w:tc>
        <w:tc>
          <w:tcPr>
            <w:tcW w:w="83" w:type="dxa"/>
            <w:tcBorders/>
            <w:shd w:fill="CCEE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Stock options for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36</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439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(44,224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(44,224</w:t>
            </w:r>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9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48,307,896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560,663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(472,738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87,973</w:t>
            </w:r>
          </w:p>
        </w:tc>
        <w:tc>
          <w:tcPr>
            <w:tcW w:w="83" w:type="dxa"/>
            <w:tcBorders/>
            <w:shd w:fill="FFFFFF" w:val="clear"/>
            <w:vAlign w:val="center"/>
          </w:tcPr>
          <w:p>
            <w:pPr>
              <w:pStyle w:val="TableContents"/>
              <w:bidi w:val="0"/>
              <w:spacing w:before="0" w:after="0"/>
              <w:jc w:val="left"/>
              <w:rPr/>
            </w:pPr>
            <w:r>
              <w:rPr/>
              <w:t> </w:t>
            </w:r>
          </w:p>
        </w:tc>
      </w:tr>
      <w:tr>
        <w:trPr/>
        <w:tc>
          <w:tcPr>
            <w:tcW w:w="43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48,307,896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570,439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(496,084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74,403</w:t>
            </w:r>
          </w:p>
        </w:tc>
        <w:tc>
          <w:tcPr>
            <w:tcW w:w="83" w:type="dxa"/>
            <w:tcBorders/>
            <w:shd w:fill="FFFFFF" w:val="clear"/>
            <w:vAlign w:val="center"/>
          </w:tcPr>
          <w:p>
            <w:pPr>
              <w:pStyle w:val="TableContents"/>
              <w:bidi w:val="0"/>
              <w:spacing w:before="0" w:after="283"/>
              <w:jc w:val="left"/>
              <w:rPr/>
            </w:pPr>
            <w:r>
              <w:rPr/>
              <w:t> </w:t>
            </w:r>
          </w:p>
        </w:tc>
      </w:tr>
      <w:tr>
        <w:trPr/>
        <w:tc>
          <w:tcPr>
            <w:tcW w:w="439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for: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options for 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4,053</w:t>
            </w:r>
          </w:p>
        </w:tc>
        <w:tc>
          <w:tcPr>
            <w:tcW w:w="83" w:type="dxa"/>
            <w:tcBorders/>
            <w:shd w:fill="FFFFFF" w:val="clear"/>
            <w:vAlign w:val="center"/>
          </w:tcPr>
          <w:p>
            <w:pPr>
              <w:pStyle w:val="TableContents"/>
              <w:bidi w:val="0"/>
              <w:spacing w:before="0" w:after="283"/>
              <w:jc w:val="left"/>
              <w:rPr/>
            </w:pPr>
            <w:r>
              <w:rPr/>
              <w:t> </w:t>
            </w:r>
          </w:p>
        </w:tc>
      </w:tr>
      <w:tr>
        <w:trPr/>
        <w:tc>
          <w:tcPr>
            <w:tcW w:w="439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options for non-employees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439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(10,331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(10,331</w:t>
            </w:r>
          </w:p>
        </w:tc>
        <w:tc>
          <w:tcPr>
            <w:tcW w:w="8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39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48,307,896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574,508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(506,415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68,141</w:t>
            </w:r>
          </w:p>
        </w:tc>
        <w:tc>
          <w:tcPr>
            <w:tcW w:w="83" w:type="dxa"/>
            <w:tcBorders/>
            <w:shd w:fill="CCEE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439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options for employees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00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4,055</w:t>
            </w:r>
          </w:p>
        </w:tc>
        <w:tc>
          <w:tcPr>
            <w:tcW w:w="83" w:type="dxa"/>
            <w:tcBorders/>
            <w:shd w:fill="CCEEFF" w:val="clear"/>
            <w:vAlign w:val="center"/>
          </w:tcPr>
          <w:p>
            <w:pPr>
              <w:pStyle w:val="TableContents"/>
              <w:bidi w:val="0"/>
              <w:spacing w:before="0" w:after="283"/>
              <w:jc w:val="left"/>
              <w:rPr/>
            </w:pPr>
            <w:r>
              <w:rPr/>
              <w:t> </w:t>
            </w:r>
          </w:p>
        </w:tc>
      </w:tr>
      <w:tr>
        <w:trPr/>
        <w:tc>
          <w:tcPr>
            <w:tcW w:w="439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options for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5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003"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16</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439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(8,603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(8,603</w:t>
            </w:r>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9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at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48,307,896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578,579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(515,018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63,609</w:t>
            </w:r>
          </w:p>
        </w:tc>
        <w:tc>
          <w:tcPr>
            <w:tcW w:w="83" w:type="dxa"/>
            <w:tcBorders/>
            <w:shd w:fill="FFFFFF" w:val="clear"/>
            <w:vAlign w:val="center"/>
          </w:tcPr>
          <w:p>
            <w:pPr>
              <w:pStyle w:val="TableContents"/>
              <w:bidi w:val="0"/>
              <w:spacing w:before="0" w:after="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sz w:val="20"/>
        </w:rPr>
      </w:pPr>
      <w:bookmarkStart w:id="6" w:name="cashflow"/>
      <w:bookmarkEnd w:id="6"/>
      <w:r>
        <w:rPr>
          <w:rFonts w:ascii="Times New Roman" w:hAnsi="Times New Roman"/>
          <w:b/>
          <w:sz w:val="20"/>
        </w:rPr>
        <w:t>FILANA THERAPEUTICS, INC.</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(Unaudited, in thousands)</w:t>
      </w:r>
    </w:p>
    <w:p>
      <w:pPr>
        <w:pStyle w:val="TextBody"/>
        <w:bidi w:val="0"/>
        <w:spacing w:before="0" w:after="0"/>
        <w:ind w:left="0" w:right="0" w:hanging="0"/>
        <w:jc w:val="left"/>
        <w:rPr/>
      </w:pPr>
      <w:r>
        <w:rPr/>
        <w:t> </w:t>
      </w:r>
    </w:p>
    <w:tbl>
      <w:tblPr>
        <w:tblW w:w="8292" w:type="dxa"/>
        <w:jc w:val="left"/>
        <w:tblInd w:w="0" w:type="dxa"/>
        <w:tblLayout w:type="fixed"/>
        <w:tblCellMar>
          <w:top w:w="0" w:type="dxa"/>
          <w:left w:w="0" w:type="dxa"/>
          <w:bottom w:w="0" w:type="dxa"/>
          <w:right w:w="0" w:type="dxa"/>
        </w:tblCellMar>
      </w:tblPr>
      <w:tblGrid>
        <w:gridCol w:w="5930"/>
        <w:gridCol w:w="60"/>
        <w:gridCol w:w="160"/>
        <w:gridCol w:w="833"/>
        <w:gridCol w:w="102"/>
        <w:gridCol w:w="76"/>
        <w:gridCol w:w="160"/>
        <w:gridCol w:w="891"/>
        <w:gridCol w:w="80"/>
      </w:tblGrid>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22"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10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(18,934</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(67,627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8,140</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9,806</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487</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438</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Prepaid and other current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1,232</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5,518</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(2,356</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35,168</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Accrued development expense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1,348</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(1,240</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(12,733</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(16,283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Purchases of property and equipment</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jc w:val="left"/>
              <w:rPr/>
            </w:pPr>
            <w:r>
              <w:rPr/>
              <w:t> </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c>
          <w:tcPr>
            <w:tcW w:w="1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0"/>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2025 ATM program offering costs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(67</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0" w:type="dxa"/>
            <w:tcBorders/>
            <w:shd w:fill="FFFFFF" w:val="clear"/>
            <w:vAlign w:val="center"/>
          </w:tcPr>
          <w:p>
            <w:pPr>
              <w:pStyle w:val="TableContents"/>
              <w:bidi w:val="0"/>
              <w:spacing w:before="0" w:after="283"/>
              <w:jc w:val="left"/>
              <w:rPr/>
            </w:pPr>
            <w:r>
              <w:rPr/>
              <w:t> </w:t>
            </w:r>
          </w:p>
        </w:tc>
      </w:tr>
      <w:tr>
        <w:trPr/>
        <w:tc>
          <w:tcPr>
            <w:tcW w:w="5930" w:type="dxa"/>
            <w:tcBorders/>
            <w:shd w:fill="CCEE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w:t>
            </w:r>
          </w:p>
        </w:tc>
        <w:tc>
          <w:tcPr>
            <w:tcW w:w="102"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80" w:type="dxa"/>
            <w:tcBorders/>
            <w:shd w:fill="CCEEFF" w:val="clear"/>
            <w:vAlign w:val="center"/>
          </w:tcPr>
          <w:p>
            <w:pPr>
              <w:pStyle w:val="TableContents"/>
              <w:bidi w:val="0"/>
              <w:spacing w:before="0" w:after="283"/>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(12,821</w:t>
            </w:r>
          </w:p>
        </w:tc>
        <w:tc>
          <w:tcPr>
            <w:tcW w:w="10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6"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(16,193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9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95,502</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128,574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9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Cash and cash equivalents at end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82,681</w:t>
            </w:r>
          </w:p>
        </w:tc>
        <w:tc>
          <w:tcPr>
            <w:tcW w:w="102"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112,381</w:t>
            </w:r>
          </w:p>
        </w:tc>
        <w:tc>
          <w:tcPr>
            <w:tcW w:w="80" w:type="dxa"/>
            <w:tcBorders/>
            <w:shd w:fill="FFFFFF" w:val="clear"/>
            <w:vAlign w:val="center"/>
          </w:tcPr>
          <w:p>
            <w:pPr>
              <w:pStyle w:val="TableContents"/>
              <w:bidi w:val="0"/>
              <w:spacing w:before="0" w:after="0"/>
              <w:jc w:val="left"/>
              <w:rPr/>
            </w:pPr>
            <w:r>
              <w:rPr/>
              <w:t> </w:t>
            </w:r>
          </w:p>
        </w:tc>
      </w:tr>
      <w:tr>
        <w:trPr/>
        <w:tc>
          <w:tcPr>
            <w:tcW w:w="59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right"/>
              <w:rPr/>
            </w:pPr>
            <w:r>
              <w:rPr/>
              <w:t> </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7" w:name="notes"/>
      <w:bookmarkEnd w:id="7"/>
      <w:r>
        <w:rPr>
          <w:rFonts w:ascii="Times New Roman" w:hAnsi="Times New Roman"/>
          <w:caps w:val="false"/>
          <w:smallCaps w:val="false"/>
          <w:sz w:val="20"/>
        </w:rPr>
        <w:t>Filana Therapeutics,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General and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Filana Therapeutics, Inc. and its wholly-owned subsidiary (collectively referred to as the “Company”) discovers and develops proprietary pharmaceutical product candidates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offer significant improvements to patients and healthcare professionals. The Company currently focuses its discovery and product development efforts on disorders of the nervous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accompanying unaudited condensed consolidated financial statements of the Company have been prepared in accordance with accounting principles generally accepted in the United States (“GAAP”) for interim financial information and pursuant to the instructions to the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-Q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All intercompany transactions and balances have been eliminated in consolidation. Accordingly, the condensed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GAAP for complete consolidated financial statements. In the opinion of management of the Company, all adjustments, consisting of normal recurring adjustments, considered necessary for a fair presentation have been included. Operating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any other interim period or for the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For further information, refer to the consolidated financial statements and footnotes thereto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has incurred significant net losses and negative cash flows since inception, and as a result has an accumulated deficit of $515.0 million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expects its cash requirements to be significant in the future. The amount and timing of the Company’s future cash requirements will depend on regulatory and market acceptance of its product candidates and the resources it devotes to researching and developing, formulating, manufacturing, commercializing and supporting its products.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seek additional funding through public or private financing in the future, if such funding is available and on terms acceptable to the Company.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additional financing will be available on favorable terms, or at all. However, management believes that the current working capital position will be sufficient to meet the Company’s working capital needs for at least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makes estimates and assumptions in preparing its condensed consolidated financial statements in conformity with GAAP. These estimates and assumptions affect the reported amounts of assets and liabilities and disclosure of contingent assets and liabilities at the date of the condensed consolidated financial statements and the reported amount of expenses incurred during the reporting period. The Company evaluates its estimates on an ongoing basis, including those estimates related to legal liabilities, stock-based compensation, clinical trials and manufacturing agreements. Actual results could differ from these estimates and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and Cash Equivalents and Concentration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invests in cash and cash equivalents. The Company considers highly liquid financial instruments with original maturities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or less to be cash equivalents. Highly liquid investments that are considered cash equivalents include money market accounts and funds, certificates of deposit, and U.S. Treasury securities. The Company maintains its cash and cash equivalents at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financial institution.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Fair Value Measurements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recognizes financial instruments in accordance with the authoritative guidance on fair value measurements and disclosures for financial assets and liabilities. This guidance defines fair value, establishes a framework for measuring fair value in accordance with GAAP, and expands disclosures about fair value measurements. The guidance also establishes a </w:t>
      </w:r>
      <w:r>
        <w:rPr>
          <w:rStyle w:val="Emphasis"/>
          <w:rFonts w:ascii="Times New Roman" w:hAnsi="Times New Roman"/>
          <w:caps w:val="false"/>
          <w:smallCaps w:val="false"/>
          <w:sz w:val="20"/>
        </w:rPr>
        <w:t>three</w:t>
      </w:r>
      <w:r>
        <w:rPr>
          <w:rFonts w:ascii="Times New Roman" w:hAnsi="Times New Roman"/>
          <w:caps w:val="false"/>
          <w:smallCaps w:val="false"/>
          <w:sz w:val="20"/>
        </w:rPr>
        <w:t>-tier fair value hierarchy, which prioritizes the inputs used in measuring fair value. These tiers include:</w:t>
      </w:r>
    </w:p>
    <w:p>
      <w:pPr>
        <w:pStyle w:val="TextBody"/>
        <w:bidi w:val="0"/>
        <w:spacing w:before="0" w:after="0"/>
        <w:ind w:left="0" w:right="0" w:hanging="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60"/>
        <w:gridCol w:w="170"/>
        <w:gridCol w:w="39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8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includes quoted prices in active markets.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includes significant observable inputs, such as quoted prices for identical or similar securities, or other inputs that are observable and can be corroborated by observable market data for similar securities. The Company uses market pricing and other observable market inputs obtained from </w:t>
            </w:r>
            <w:r>
              <w:rPr>
                <w:rStyle w:val="Emphasis"/>
                <w:rFonts w:ascii="Times New Roman;Times;serif" w:hAnsi="Times New Roman;Times;serif"/>
                <w:caps w:val="false"/>
                <w:smallCaps w:val="false"/>
                <w:sz w:val="20"/>
              </w:rPr>
              <w:t>third</w:t>
            </w:r>
            <w:r>
              <w:rPr>
                <w:rFonts w:ascii="Times New Roman;Times;serif" w:hAnsi="Times New Roman;Times;serif"/>
                <w:caps w:val="false"/>
                <w:smallCaps w:val="false"/>
                <w:sz w:val="20"/>
              </w:rPr>
              <w:t xml:space="preserve">-party providers. It uses the bid price to establish fair value where a bid price is available.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have any financial instruments where the fair value is based on 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inputs.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Level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includes unobservable inputs that are supported by little or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market activity. The Company does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have any financial instruments where the fair value is based on Level </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 xml:space="preserve"> inputs.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If a financial instrument uses inputs that fall in different levels of the hierarchy, the instrument will be categorized based upon the lowest level of input that is significant to the fair value calculation. The fair value of cash and cash equivalents was based on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2025</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reports segment information based on how it internally evaluates the operating performance of its business units, or segments. The Company’s operations are confined to one business segment: the development of novel drugs and diagnostics.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Company’s reportable segment reflects the manner in which its chief operating decision maker (“CODM”) allocates resources and assesses performance. The Company's CODM is the President and Chief Executive Officer. The primary measure used by the Company's CODM for purposes of allocating resources is based on net loss that also is reported on the consolidated statements of operations as consolidated net loss. The measure of segment assets is reported on the condensed consolidated balance sheets as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generated any product revenue in the current period and expects to continue to incur significant expenses and operating losses for the foreseeable future as we advance our product candidates through stages of development and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such, the CODM uses cash forecast models in deciding how to invest in the development of novel drugs and diagnostics. Such cash forecast models are reviewed to assess the entity-wide operating results and performance. Net loss is used to monitor budget versus actual results. Monitoring budgeted versus actual results, net cash used in operating activities for the period and cash on hand are used in assessing performance of the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summarizes expenses by category regularly reviewed by the CODM (in thousands):</w:t>
      </w:r>
    </w:p>
    <w:p>
      <w:pPr>
        <w:pStyle w:val="TextBody"/>
        <w:bidi w:val="0"/>
        <w:spacing w:before="0" w:after="0"/>
        <w:ind w:left="0" w:right="0" w:hanging="0"/>
        <w:jc w:val="left"/>
        <w:rPr>
          <w:caps w:val="false"/>
          <w:smallCaps w:val="false"/>
        </w:rPr>
      </w:pPr>
      <w:r>
        <w:rPr>
          <w:caps w:val="false"/>
          <w:smallCaps w:val="false"/>
        </w:rPr>
        <w:t> </w:t>
      </w:r>
    </w:p>
    <w:tbl>
      <w:tblPr>
        <w:tblW w:w="5862" w:type="dxa"/>
        <w:jc w:val="left"/>
        <w:tblInd w:w="0" w:type="dxa"/>
        <w:tblLayout w:type="fixed"/>
        <w:tblCellMar>
          <w:top w:w="0" w:type="dxa"/>
          <w:left w:w="0" w:type="dxa"/>
          <w:bottom w:w="0" w:type="dxa"/>
          <w:right w:w="0" w:type="dxa"/>
        </w:tblCellMar>
      </w:tblPr>
      <w:tblGrid>
        <w:gridCol w:w="2210"/>
        <w:gridCol w:w="60"/>
        <w:gridCol w:w="132"/>
        <w:gridCol w:w="579"/>
        <w:gridCol w:w="85"/>
        <w:gridCol w:w="63"/>
        <w:gridCol w:w="132"/>
        <w:gridCol w:w="691"/>
        <w:gridCol w:w="80"/>
        <w:gridCol w:w="60"/>
        <w:gridCol w:w="125"/>
        <w:gridCol w:w="650"/>
        <w:gridCol w:w="80"/>
        <w:gridCol w:w="60"/>
        <w:gridCol w:w="125"/>
        <w:gridCol w:w="650"/>
        <w:gridCol w:w="80"/>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2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79"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(6,090</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items(a)</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w:t>
            </w:r>
          </w:p>
        </w:tc>
        <w:tc>
          <w:tcPr>
            <w:tcW w:w="8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2,351</w:t>
            </w:r>
          </w:p>
        </w:tc>
        <w:tc>
          <w:tcPr>
            <w:tcW w:w="80"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(8,603</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Other segment items include interest income and other income (loss), net.</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summarizes assets regularly reviewed by the CODM (in thousands):</w:t>
      </w:r>
    </w:p>
    <w:p>
      <w:pPr>
        <w:pStyle w:val="TextBody"/>
        <w:bidi w:val="0"/>
        <w:spacing w:before="0" w:after="0"/>
        <w:ind w:left="0" w:right="0" w:hanging="0"/>
        <w:jc w:val="left"/>
        <w:rPr/>
      </w:pPr>
      <w:r>
        <w:rPr/>
        <w:t> </w:t>
      </w:r>
    </w:p>
    <w:tbl>
      <w:tblPr>
        <w:tblW w:w="5203" w:type="dxa"/>
        <w:jc w:val="left"/>
        <w:tblInd w:w="0" w:type="dxa"/>
        <w:tblLayout w:type="fixed"/>
        <w:tblCellMar>
          <w:top w:w="0" w:type="dxa"/>
          <w:left w:w="0" w:type="dxa"/>
          <w:bottom w:w="0" w:type="dxa"/>
          <w:right w:w="0" w:type="dxa"/>
        </w:tblCellMar>
      </w:tblPr>
      <w:tblGrid>
        <w:gridCol w:w="2165"/>
        <w:gridCol w:w="60"/>
        <w:gridCol w:w="208"/>
        <w:gridCol w:w="981"/>
        <w:gridCol w:w="60"/>
        <w:gridCol w:w="60"/>
        <w:gridCol w:w="280"/>
        <w:gridCol w:w="1329"/>
        <w:gridCol w:w="60"/>
      </w:tblGrid>
      <w:tr>
        <w:trPr/>
        <w:tc>
          <w:tcPr>
            <w:tcW w:w="2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2025</w:t>
            </w:r>
          </w:p>
        </w:tc>
        <w:tc>
          <w:tcPr>
            <w:tcW w:w="60" w:type="dxa"/>
            <w:tcBorders/>
            <w:shd w:fill="FFFFFF" w:val="cle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95,502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net cash used in operating activities was $12.7 million and $16.3 million,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Stock-based Compensation</w:t>
      </w:r>
      <w:r>
        <w:rPr>
          <w:rFonts w:ascii="Times New Roman" w:hAnsi="Times New Roman"/>
          <w:caps w:val="false"/>
          <w:smallCaps w:val="false"/>
          <w:sz w:val="20"/>
        </w:rPr>
        <w:t> </w:t>
      </w:r>
    </w:p>
    <w:p>
      <w:pPr>
        <w:pStyle w:val="TextBody"/>
        <w:bidi w:val="0"/>
        <w:spacing w:before="0" w:after="0"/>
        <w:ind w:left="0" w:right="0" w:hanging="0"/>
        <w:jc w:val="both"/>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recognizes non-cash expense for the fair value of all stock options and other share-based awards. The Company uses the Black-Scholes option valuation model to calculate the fair value of stock options, using the single-option award approach and straight-line attribution method. This model requires the input of subjective assumptions including expected stock price volatility, expected life and estimated forfeitures of each award. These assumptions consist of estimates of future market conditions, which are inherently uncertain, and therefore, are subject to management's judgment. For all options granted, it recognizes the resulting fair value as expense on a straight-line basis over the vesting period of each respective stock option, generally one to four years.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Net Loss per Share </w:t>
      </w:r>
    </w:p>
    <w:p>
      <w:pPr>
        <w:pStyle w:val="TextBody"/>
        <w:bidi w:val="0"/>
        <w:spacing w:before="0" w:after="0"/>
        <w:ind w:left="0" w:right="0" w:hanging="0"/>
        <w:jc w:val="both"/>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360"/>
        <w:jc w:val="both"/>
        <w:rPr/>
      </w:pPr>
      <w:r>
        <w:rPr>
          <w:rFonts w:ascii="Times New Roman" w:hAnsi="Times New Roman"/>
          <w:caps w:val="false"/>
          <w:smallCaps w:val="false"/>
          <w:sz w:val="20"/>
        </w:rPr>
        <w:t>The Company computes basic net loss per share on the basis of the weighted-average number of common shares outstanding for the reporting period. Diluted net loss per share is computed on the basis of the weighted-average number of common shares outstanding plus potential dilutive common shares outstanding using the treasury-stock method. Potential dilutive common shares consist of outstanding common stock options and share-based awards that vest upon achievement of certain performance criteria (“Performance Awards”). There is </w:t>
      </w:r>
      <w:r>
        <w:rPr>
          <w:rStyle w:val="Emphasis"/>
          <w:rFonts w:ascii="Times New Roman" w:hAnsi="Times New Roman"/>
          <w:caps w:val="false"/>
          <w:smallCaps w:val="false"/>
          <w:sz w:val="20"/>
        </w:rPr>
        <w:t>no</w:t>
      </w:r>
      <w:r>
        <w:rPr>
          <w:rFonts w:ascii="Times New Roman" w:hAnsi="Times New Roman"/>
          <w:caps w:val="false"/>
          <w:smallCaps w:val="false"/>
          <w:sz w:val="20"/>
        </w:rPr>
        <w:t> difference between the Company’s net loss and comprehensive loss. The numerators and denominators in the calculation of basic and diluted net loss per share were as follows (in thousands, except net loss per share data):</w:t>
      </w:r>
    </w:p>
    <w:p>
      <w:pPr>
        <w:pStyle w:val="TextBody"/>
        <w:bidi w:val="0"/>
        <w:spacing w:before="0" w:after="0"/>
        <w:ind w:left="0" w:right="0" w:hanging="0"/>
        <w:jc w:val="left"/>
        <w:rPr>
          <w:caps w:val="false"/>
          <w:smallCaps w:val="false"/>
        </w:rPr>
      </w:pPr>
      <w:r>
        <w:rPr>
          <w:caps w:val="false"/>
          <w:smallCaps w:val="false"/>
        </w:rPr>
        <w:t> </w:t>
      </w:r>
    </w:p>
    <w:tbl>
      <w:tblPr>
        <w:tblW w:w="9552" w:type="dxa"/>
        <w:jc w:val="left"/>
        <w:tblInd w:w="0" w:type="dxa"/>
        <w:tblLayout w:type="fixed"/>
        <w:tblCellMar>
          <w:top w:w="0" w:type="dxa"/>
          <w:left w:w="0" w:type="dxa"/>
          <w:bottom w:w="0" w:type="dxa"/>
          <w:right w:w="0" w:type="dxa"/>
        </w:tblCellMar>
      </w:tblPr>
      <w:tblGrid>
        <w:gridCol w:w="5900"/>
        <w:gridCol w:w="60"/>
        <w:gridCol w:w="129"/>
        <w:gridCol w:w="609"/>
        <w:gridCol w:w="82"/>
        <w:gridCol w:w="62"/>
        <w:gridCol w:w="129"/>
        <w:gridCol w:w="671"/>
        <w:gridCol w:w="80"/>
        <w:gridCol w:w="60"/>
        <w:gridCol w:w="125"/>
        <w:gridCol w:w="650"/>
        <w:gridCol w:w="80"/>
        <w:gridCol w:w="60"/>
        <w:gridCol w:w="125"/>
        <w:gridCol w:w="650"/>
        <w:gridCol w:w="80"/>
      </w:tblGrid>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(8,603</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0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6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used in computing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48,308</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48,285</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0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67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9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common stock options excluded from net loss per share, diluted</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4,103</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6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3,910</w:t>
            </w:r>
          </w:p>
        </w:tc>
        <w:tc>
          <w:tcPr>
            <w:tcW w:w="80" w:type="dxa"/>
            <w:tcBorders/>
            <w:shd w:fill="CCEEFF" w:val="clear"/>
            <w:vAlign w:val="center"/>
          </w:tcPr>
          <w:p>
            <w:pPr>
              <w:pStyle w:val="TableContents"/>
              <w:bidi w:val="0"/>
              <w:spacing w:before="0" w:after="283"/>
              <w:jc w:val="left"/>
              <w:rPr/>
            </w:pPr>
            <w:r>
              <w:rPr/>
              <w:t> </w:t>
            </w:r>
          </w:p>
        </w:tc>
      </w:tr>
      <w:tr>
        <w:trPr/>
        <w:tc>
          <w:tcPr>
            <w:tcW w:w="59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Performance Awards excluded from net loss per share, diluted</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09"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6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excluded all common stock options and Performance Awards outstanding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from the calculation of net loss per share, diluted, because the effect of including outstanding options and Performance Awards would have been anti</w:t>
      </w:r>
      <w:r>
        <w:rPr>
          <w:rFonts w:ascii="Times New Roman" w:hAnsi="Times New Roman"/>
          <w:b/>
          <w:caps w:val="false"/>
          <w:smallCaps w:val="false"/>
          <w:sz w:val="20"/>
        </w:rPr>
        <w:t>-</w:t>
      </w:r>
      <w:r>
        <w:rPr>
          <w:rFonts w:ascii="Times New Roman" w:hAnsi="Times New Roman"/>
          <w:caps w:val="false"/>
          <w:smallCaps w:val="false"/>
          <w:sz w:val="20"/>
        </w:rPr>
        <w:t>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Fair Value of Financial Instruments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Financial instruments include accounts payable, accrued expenses, accrued development expense and other liabilities. The estimated fair value of certain financial instruments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determined using available market information or other appropriate valuation methodologies. However, considerable judgment is required in interpreting market data to develop estimates of fair value; therefore, the estimates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amounts that could be realized or would be paid in a current market exchange. The effect of using different market assumptions and/or estimation methodologies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material to the estimated fair value amounts. The carrying amounts of accounts payable, accrued expenses, accrued development expense and other liabilities are at cost, which approximates fair value due to the short maturity of those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Research Contracts, Prepaids and Accruals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has entered into various research and development contracts with research institutions and other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vendors. These agreements are generally cancelable. Related payments are recorded as research and development expenses as incurred. The Company records prepaids and accruals for estimated ongoing research costs. When evaluating the adequacy of prepaid expenses and accrued liabilities, the Company analyzes progress of the studies including the phase or completion of events, invoices received and contracted costs. Significant judgments and estimates are made in determining the prepaid and accrued balances at the end of any reporting period. Actual results could differ from the Company’s estimates. The Company’s historical prepaid and accrual estimates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materially different from actual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Incentive Bonus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Company established the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Cash Incentive Bonus Plan (the “CIB Plan”) to incentivize CIB Plan participants. Awards under the CIB Plan are accounted for as liability awards under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“Stock-based Compensation”. The fair value of each potential CIB Plan award will be determined once a grant date occurs and will be remeasured each reporting period. Compensation expense associated with the CIB Plan will be recognized over the expected achievement period for each CIB Plan award, when a Performance Condition (as defined below) is considered probable of being met. See Note </w:t>
      </w:r>
      <w:r>
        <w:rPr>
          <w:rStyle w:val="Emphasis"/>
          <w:rFonts w:ascii="Times New Roman" w:hAnsi="Times New Roman"/>
          <w:caps w:val="false"/>
          <w:smallCaps w:val="false"/>
          <w:sz w:val="20"/>
        </w:rPr>
        <w:t>9</w:t>
      </w:r>
      <w:r>
        <w:rPr>
          <w:rFonts w:ascii="Times New Roman" w:hAnsi="Times New Roman"/>
          <w:caps w:val="false"/>
          <w:smallCaps w:val="false"/>
          <w:sz w:val="20"/>
        </w:rPr>
        <w:t> for further discussion of the CIB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Property and equipment are recorded at cost, net of accumulated depreciation. Depreciation is recorded using the straight-line method over the estimated useful lives of the assets. Owned buildings and related improvements have estimated useful lives of 39 years and approximately 10 years, respectively. Tenant improvements are amortized using the straight-line method over the useful lives of the improvements or the remaining term of the corresponding leases, whichever is shorter.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Property and equipment are reviewed for impairment when events or changes in circumstances indicate the carrying amount of an asset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If property and equipment are considered to be impaired, an impairment loss is recognized.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Income Taxes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accounts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Company has accumulated significant deferred tax assets that reflect the tax effects of net operating loss and tax credit carryovers and temporary differences between the carrying amounts of assets and liabilities for financial reporting purposes and the amounts used for income tax purposes. Realization of certain deferred tax assets is dependent upon future earnings. The Company is uncertain about the timing and amount of any future earnings. Accordingly, the Company offsets these deferred tax assets with a valuation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accounts for uncertain tax positions in accordance with ASC </w:t>
      </w:r>
      <w:r>
        <w:rPr>
          <w:rStyle w:val="Emphasis"/>
          <w:rFonts w:ascii="Times New Roman" w:hAnsi="Times New Roman"/>
          <w:caps w:val="false"/>
          <w:smallCaps w:val="false"/>
          <w:sz w:val="20"/>
        </w:rPr>
        <w:t>740,</w:t>
      </w:r>
      <w:r>
        <w:rPr>
          <w:rFonts w:ascii="Times New Roman" w:hAnsi="Times New Roman"/>
          <w:caps w:val="false"/>
          <w:smallCaps w:val="false"/>
          <w:sz w:val="20"/>
        </w:rPr>
        <w:t xml:space="preserve"> “Income Taxes”, which clarifies the accounting for uncertainty in tax positions. These provisions require recognition of the impact of a tax position in the Company’s condensed consolidated financial statements only if that position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 being sustained upon examination by taxing authorities, based on the technical merits of the position. Any interest and penalties related to uncertain tax positions will be reflected as a component of 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2024,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Disaggregation of Income Statement Expenses. This ASU includes amendments that require entities to bifurcate specified expense line items on the income statement into underlying components, including employee compensation, depreciation, and intangible asset amortization, as applicable. Qualitative descriptions of the remaining components are required. These enhanced disclosures are required for both interim and annual periods. 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 xml:space="preserve">the FASB subsequently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Income Statement—Reporting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Clarifying the Effective Date, to provide clarification on the ASU's effective date. The new standard is effective for fiscal years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on a prospective basis with the option to apply it retrospectively, and for interim periods within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Early adoption is permitted. The adoption of this guidance will result in the Company being required to include enhanced disclosures around income statement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Prepaid Expenses and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Prepaid expenses and other current assets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148" w:type="dxa"/>
        <w:jc w:val="left"/>
        <w:tblInd w:w="0" w:type="dxa"/>
        <w:tblLayout w:type="fixed"/>
        <w:tblCellMar>
          <w:top w:w="0" w:type="dxa"/>
          <w:left w:w="0" w:type="dxa"/>
          <w:bottom w:w="0" w:type="dxa"/>
          <w:right w:w="0" w:type="dxa"/>
        </w:tblCellMar>
      </w:tblPr>
      <w:tblGrid>
        <w:gridCol w:w="4040"/>
        <w:gridCol w:w="60"/>
        <w:gridCol w:w="148"/>
        <w:gridCol w:w="576"/>
        <w:gridCol w:w="60"/>
        <w:gridCol w:w="60"/>
        <w:gridCol w:w="234"/>
        <w:gridCol w:w="910"/>
        <w:gridCol w:w="60"/>
      </w:tblGrid>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Prepaid insurance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493</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Contract research organization and other deposits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1,530</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receivable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60" w:type="dxa"/>
            <w:tcBorders/>
            <w:shd w:fill="CCEEFF" w:val="clear"/>
            <w:vAlign w:val="center"/>
          </w:tcPr>
          <w:p>
            <w:pPr>
              <w:pStyle w:val="TableContents"/>
              <w:bidi w:val="0"/>
              <w:spacing w:before="0" w:after="283"/>
              <w:jc w:val="left"/>
              <w:rPr/>
            </w:pPr>
            <w:r>
              <w:rPr/>
              <w:t> </w:t>
            </w:r>
          </w:p>
        </w:tc>
      </w:tr>
      <w:tr>
        <w:trPr/>
        <w:tc>
          <w:tcPr>
            <w:tcW w:w="40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FFFFFF" w:val="clear"/>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prepaid expenses and other current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2,207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Contract research organization and other deposits represent cash payments made to vendors in excess of expenses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Real Property and Other Income,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owns a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-building office complex in Austin, Texas, a portion of which serves as its corporate headquarters. Maintenance, physical facilities, leasing, property management and other key responsibilities related to property ownership are outsourced to professional real-estate managers. The office complex has approximately 90,000 square feet of rentable space.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the Company occupied approximately 25% of the property with the remainder either leased or available for lease to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records the net income (loss) from building operations and leases as other income (loss), net, as leasing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core to the Company’s operations. Building depreciation and amortization for space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occupied by the Company is included in general and administrative expense. Building depreciation and amortization for space occupied by the Company is allocated between general and administrative expense and research and development expense. Components of other income (loss), net, for the periods presented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5751" w:type="dxa"/>
        <w:jc w:val="left"/>
        <w:tblInd w:w="0" w:type="dxa"/>
        <w:tblLayout w:type="fixed"/>
        <w:tblCellMar>
          <w:top w:w="0" w:type="dxa"/>
          <w:left w:w="0" w:type="dxa"/>
          <w:bottom w:w="0" w:type="dxa"/>
          <w:right w:w="0" w:type="dxa"/>
        </w:tblCellMar>
      </w:tblPr>
      <w:tblGrid>
        <w:gridCol w:w="2315"/>
        <w:gridCol w:w="60"/>
        <w:gridCol w:w="178"/>
        <w:gridCol w:w="564"/>
        <w:gridCol w:w="114"/>
        <w:gridCol w:w="85"/>
        <w:gridCol w:w="178"/>
        <w:gridCol w:w="564"/>
        <w:gridCol w:w="80"/>
        <w:gridCol w:w="60"/>
        <w:gridCol w:w="156"/>
        <w:gridCol w:w="493"/>
        <w:gridCol w:w="100"/>
        <w:gridCol w:w="75"/>
        <w:gridCol w:w="156"/>
        <w:gridCol w:w="493"/>
        <w:gridCol w:w="80"/>
      </w:tblGrid>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3"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14"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10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w:t>
            </w:r>
          </w:p>
        </w:tc>
        <w:tc>
          <w:tcPr>
            <w:tcW w:w="8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operating expenses</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w:t>
            </w:r>
          </w:p>
        </w:tc>
        <w:tc>
          <w:tcPr>
            <w:tcW w:w="1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1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(370</w:t>
            </w:r>
          </w:p>
        </w:tc>
        <w:tc>
          <w:tcPr>
            <w:tcW w:w="1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(loss), net</w:t>
            </w:r>
          </w:p>
        </w:tc>
        <w:tc>
          <w:tcPr>
            <w:tcW w:w="60"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14"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w:t>
            </w:r>
          </w:p>
        </w:tc>
        <w:tc>
          <w:tcPr>
            <w:tcW w:w="1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Company had accrued property taxes related to the building totaling $92,000 and $178,000 at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respectively, included in other current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Gross rental income under existing </w:t>
      </w:r>
      <w:r>
        <w:rPr>
          <w:rStyle w:val="Emphasis"/>
          <w:rFonts w:ascii="Times New Roman" w:hAnsi="Times New Roman"/>
          <w:caps w:val="false"/>
          <w:smallCaps w:val="false"/>
          <w:sz w:val="20"/>
        </w:rPr>
        <w:t>third</w:t>
      </w:r>
      <w:r>
        <w:rPr>
          <w:rFonts w:ascii="Times New Roman" w:hAnsi="Times New Roman"/>
          <w:caps w:val="false"/>
          <w:smallCaps w:val="false"/>
          <w:sz w:val="20"/>
        </w:rPr>
        <w:t>-party leases at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is as follows (in millions):</w:t>
      </w:r>
    </w:p>
    <w:p>
      <w:pPr>
        <w:pStyle w:val="TextBody"/>
        <w:bidi w:val="0"/>
        <w:spacing w:before="0" w:after="0"/>
        <w:ind w:left="0" w:right="0" w:firstLine="36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2885"/>
        <w:gridCol w:w="60"/>
        <w:gridCol w:w="60"/>
        <w:gridCol w:w="275"/>
        <w:gridCol w:w="60"/>
      </w:tblGrid>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year ending 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6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 and beyond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gross rental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components of property and equipment, net, as of </w:t>
      </w:r>
      <w:r>
        <w:rPr>
          <w:rStyle w:val="Emphasis"/>
          <w:rFonts w:ascii="Times New Roman" w:hAnsi="Times New Roman"/>
          <w:caps w:val="false"/>
          <w:smallCaps w:val="false"/>
          <w:sz w:val="20"/>
        </w:rPr>
        <w:t>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were as follows (in thousands):</w:t>
      </w:r>
    </w:p>
    <w:p>
      <w:pPr>
        <w:pStyle w:val="TextBody"/>
        <w:bidi w:val="0"/>
        <w:spacing w:before="0" w:after="0"/>
        <w:ind w:left="0" w:right="0" w:hanging="0"/>
        <w:jc w:val="left"/>
        <w:rPr>
          <w:caps w:val="false"/>
          <w:smallCaps w:val="false"/>
        </w:rPr>
      </w:pPr>
      <w:r>
        <w:rPr>
          <w:caps w:val="false"/>
          <w:smallCaps w:val="false"/>
        </w:rPr>
        <w:t> </w:t>
      </w:r>
    </w:p>
    <w:tbl>
      <w:tblPr>
        <w:tblW w:w="4613" w:type="dxa"/>
        <w:jc w:val="left"/>
        <w:tblInd w:w="0" w:type="dxa"/>
        <w:tblLayout w:type="fixed"/>
        <w:tblCellMar>
          <w:top w:w="0" w:type="dxa"/>
          <w:left w:w="0" w:type="dxa"/>
          <w:bottom w:w="0" w:type="dxa"/>
          <w:right w:w="0" w:type="dxa"/>
        </w:tblCellMar>
      </w:tblPr>
      <w:tblGrid>
        <w:gridCol w:w="2465"/>
        <w:gridCol w:w="60"/>
        <w:gridCol w:w="126"/>
        <w:gridCol w:w="598"/>
        <w:gridCol w:w="80"/>
        <w:gridCol w:w="60"/>
        <w:gridCol w:w="199"/>
        <w:gridCol w:w="945"/>
        <w:gridCol w:w="80"/>
      </w:tblGrid>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3,734</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Buildings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15,980</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Site improvements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w:t>
            </w:r>
          </w:p>
        </w:tc>
        <w:tc>
          <w:tcPr>
            <w:tcW w:w="8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Tenant improvements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3,468</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and equipment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Construction in progress</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598"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w:t>
            </w:r>
          </w:p>
        </w:tc>
        <w:tc>
          <w:tcPr>
            <w:tcW w:w="80" w:type="dxa"/>
            <w:tcBorders/>
            <w:shd w:fill="CCEEFF" w:val="clear"/>
            <w:vAlign w:val="center"/>
          </w:tcPr>
          <w:p>
            <w:pPr>
              <w:pStyle w:val="TableContents"/>
              <w:bidi w:val="0"/>
              <w:spacing w:before="0" w:after="0"/>
              <w:jc w:val="left"/>
              <w:rPr/>
            </w:pPr>
            <w:r>
              <w:rPr/>
              <w:t> </w:t>
            </w:r>
          </w:p>
        </w:tc>
      </w:tr>
      <w:tr>
        <w:trPr/>
        <w:tc>
          <w:tcPr>
            <w:tcW w:w="24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Gross property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24,785</w:t>
            </w:r>
          </w:p>
        </w:tc>
        <w:tc>
          <w:tcPr>
            <w:tcW w:w="8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Accumulated depreciation</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(4,605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4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20,180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20,646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Depreciation expense for property and equipment was $0.3 and $0.2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Depreciation expense for property and equipment was $0.5 and $0.4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and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i/>
          <w:caps w:val="false"/>
          <w:smallCaps w:val="false"/>
          <w:sz w:val="20"/>
        </w:rPr>
        <w:t xml:space="preserve">Stock Option and Performance Award Activity in </w:t>
      </w:r>
      <w:r>
        <w:rPr>
          <w:rStyle w:val="Emphasis"/>
          <w:rFonts w:ascii="Times New Roman" w:hAnsi="Times New Roman"/>
          <w:i/>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stock options and unvested Performance Awards outstanding under the Company’s stock option plans changed as follows:</w:t>
      </w:r>
    </w:p>
    <w:p>
      <w:pPr>
        <w:pStyle w:val="TextBody"/>
        <w:bidi w:val="0"/>
        <w:spacing w:before="0" w:after="0"/>
        <w:ind w:left="0" w:right="0" w:hanging="0"/>
        <w:jc w:val="left"/>
        <w:rPr>
          <w:caps w:val="false"/>
          <w:smallCaps w:val="false"/>
        </w:rPr>
      </w:pPr>
      <w:r>
        <w:rPr>
          <w:caps w:val="false"/>
          <w:smallCaps w:val="false"/>
        </w:rPr>
        <w:t> </w:t>
      </w:r>
    </w:p>
    <w:tbl>
      <w:tblPr>
        <w:tblW w:w="6278" w:type="dxa"/>
        <w:jc w:val="left"/>
        <w:tblInd w:w="0" w:type="dxa"/>
        <w:tblLayout w:type="fixed"/>
        <w:tblCellMar>
          <w:top w:w="0" w:type="dxa"/>
          <w:left w:w="0" w:type="dxa"/>
          <w:bottom w:w="0" w:type="dxa"/>
          <w:right w:w="0" w:type="dxa"/>
        </w:tblCellMar>
      </w:tblPr>
      <w:tblGrid>
        <w:gridCol w:w="3065"/>
        <w:gridCol w:w="60"/>
        <w:gridCol w:w="77"/>
        <w:gridCol w:w="1097"/>
        <w:gridCol w:w="80"/>
        <w:gridCol w:w="60"/>
        <w:gridCol w:w="173"/>
        <w:gridCol w:w="1586"/>
        <w:gridCol w:w="80"/>
      </w:tblGrid>
      <w:tr>
        <w:trPr/>
        <w:tc>
          <w:tcPr>
            <w:tcW w:w="30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Performance Awards</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as of December 31, 2025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4,157,094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58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7,142</w:t>
            </w:r>
          </w:p>
        </w:tc>
        <w:tc>
          <w:tcPr>
            <w:tcW w:w="8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09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158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09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158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Options forfeited/canceled</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(174,782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0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as of June 30, 2026</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4,009,312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weighted average exercise price per share of options outstanding at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was $14.92. As outstanding options vest over the current remaining vesting period of 2.0 years, the Company expects to recognize stock-based compensation expense of $13.7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there were no stock options exercised.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i/>
          <w:caps w:val="false"/>
          <w:smallCaps w:val="false"/>
          <w:sz w:val="20"/>
        </w:rPr>
        <w:t xml:space="preserve">Stock-based Compensation Expense in </w:t>
      </w:r>
      <w:r>
        <w:rPr>
          <w:rStyle w:val="Emphasis"/>
          <w:rFonts w:ascii="Times New Roman" w:hAnsi="Times New Roman"/>
          <w:i/>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the Company’s stock-based compensation expense was as follows (in thousands):</w:t>
      </w:r>
    </w:p>
    <w:p>
      <w:pPr>
        <w:pStyle w:val="TextBody"/>
        <w:bidi w:val="0"/>
        <w:spacing w:before="0" w:after="0"/>
        <w:ind w:left="0" w:right="0" w:hanging="0"/>
        <w:jc w:val="left"/>
        <w:rPr>
          <w:caps w:val="false"/>
          <w:smallCaps w:val="false"/>
        </w:rPr>
      </w:pPr>
      <w:r>
        <w:rPr>
          <w:caps w:val="false"/>
          <w:smallCaps w:val="false"/>
        </w:rPr>
        <w:t> </w:t>
      </w:r>
    </w:p>
    <w:tbl>
      <w:tblPr>
        <w:tblW w:w="6744" w:type="dxa"/>
        <w:jc w:val="left"/>
        <w:tblInd w:w="0" w:type="dxa"/>
        <w:tblLayout w:type="fixed"/>
        <w:tblCellMar>
          <w:top w:w="0" w:type="dxa"/>
          <w:left w:w="0" w:type="dxa"/>
          <w:bottom w:w="0" w:type="dxa"/>
          <w:right w:w="0" w:type="dxa"/>
        </w:tblCellMar>
      </w:tblPr>
      <w:tblGrid>
        <w:gridCol w:w="3350"/>
        <w:gridCol w:w="60"/>
        <w:gridCol w:w="157"/>
        <w:gridCol w:w="609"/>
        <w:gridCol w:w="75"/>
        <w:gridCol w:w="75"/>
        <w:gridCol w:w="157"/>
        <w:gridCol w:w="609"/>
        <w:gridCol w:w="60"/>
        <w:gridCol w:w="60"/>
        <w:gridCol w:w="137"/>
        <w:gridCol w:w="533"/>
        <w:gridCol w:w="66"/>
        <w:gridCol w:w="66"/>
        <w:gridCol w:w="137"/>
        <w:gridCol w:w="533"/>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c>
          <w:tcPr>
            <w:tcW w:w="7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3,534</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5,459</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6,272</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4,071</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estimates forfeitures for each award in determining stock-based compensation expense. There were no estimated forfeitures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recorded $0.6 million and $0.2 million of estimated forfeitures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w:t>
      </w:r>
      <w:r>
        <w:rPr>
          <w:rFonts w:ascii="Times New Roman" w:hAnsi="Times New Roman"/>
          <w:i/>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i/>
          <w:caps w:val="false"/>
          <w:smallCaps w:val="false"/>
          <w:sz w:val="20"/>
        </w:rPr>
        <w:t>2018</w:t>
      </w:r>
      <w:r>
        <w:rPr>
          <w:rFonts w:ascii="Times New Roman" w:hAnsi="Times New Roman"/>
          <w:b/>
          <w:i/>
          <w:caps w:val="false"/>
          <w:smallCaps w:val="false"/>
          <w:sz w:val="20"/>
        </w:rPr>
        <w:t xml:space="preserve"> Equity Incentive Plan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Company’s Board of Directors (the “Board”) or a designated committee of the Board is responsible for administration of the Company’s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Omnibus Incentive Plan, as amended in </w:t>
      </w:r>
      <w:r>
        <w:rPr>
          <w:rStyle w:val="Emphasis"/>
          <w:rFonts w:ascii="Times New Roman" w:hAnsi="Times New Roman"/>
          <w:caps w:val="false"/>
          <w:smallCaps w:val="false"/>
          <w:sz w:val="20"/>
        </w:rPr>
        <w:t>June 2026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and determines the terms and conditions of each option granted, consistent with the terms of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The Company’s employees, directors, and consultants are eligible to receive awards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including grants of stock options and Performance Awards. Share-based awards generally expire 10 years from the date of grant.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provides for issuance of up to 9,000,000 shares of common stock, par value $0.001 per share, subject to adjustment as provided in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w:t>
      </w:r>
    </w:p>
    <w:p>
      <w:pPr>
        <w:pStyle w:val="TextBody"/>
        <w:bidi w:val="0"/>
        <w:spacing w:before="0" w:after="0"/>
        <w:ind w:left="0" w:right="0" w:firstLine="360"/>
        <w:jc w:val="both"/>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When stock options or Performance Awards are exercised net of the exercise price and taxes, the number of shares of stock issued is reduced by the number of shares equal to the amount of taxes owed by the award recipient and that number of shares are cancelled. The Company then uses its cash to pay tax authorities the amount of statutory taxes owed by and on behalf of the award recipient.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Income Taxes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did not provide for income taxes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because it has projected a taxable net loss for the full year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for which any benefit will be offset by an increase in the valuation allowance. There was also no provision for income taxes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2025</w:t>
      </w:r>
      <w:r>
        <w:rPr>
          <w:rFonts w:ascii="Times New Roman" w:hAnsi="Times New Roman"/>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conducts its product research and development programs through a combination of internal and collaborative programs that include, among others, arrangements with universities, contract research organizations and clinical research sites. The Company has contractual arrangements with these organizations that are cancelable. The Company’s obligations under these contracts are largely based on services performed. The Company also had non-cancellable commitments for the manufacture of simufilam's active pharmaceutical ingredient totaling approximately $0.4 million recorded in prepaid expenses and other current assets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Company is dependent on contract development and manufacturing organizations for the manufacture of all our materials for clinical studies.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February 26, 2025, </w:t>
      </w:r>
      <w:r>
        <w:rPr>
          <w:rFonts w:ascii="Times New Roman" w:hAnsi="Times New Roman"/>
          <w:caps w:val="false"/>
          <w:smallCaps w:val="false"/>
          <w:sz w:val="20"/>
        </w:rPr>
        <w:t>the Company entered into a License Agreement (the “License Agreement”) with Yale University (“Yale”) pursuant to which the Company was granted exclusive worldwide rights, with rights to sublicense, to Yale’s interest in certain patent and other intellectual property rights that could be useful or necessary to the development and commercialization of simufilam for the treatment of Tuberous Sclerosis Complex (TSC)-related epilepsy and other potential indications. Pursuant to the License Agreement, the Company has agreed to use reasonable commercial efforts to implement a plan that it has designed for such development and commercialization. In exchange for the rights acquired pursuant to the License Agreement, the Company paid Yale (i) a nominal upfront license fee, and agreed to pay (ii) payments upon the achievement of specified clinical, regulatory and commercial milestones, totaling up to $4.5 million and (iii) upon transfer to a </w:t>
      </w:r>
      <w:r>
        <w:rPr>
          <w:rStyle w:val="Emphasis"/>
          <w:rFonts w:ascii="Times New Roman" w:hAnsi="Times New Roman"/>
          <w:caps w:val="false"/>
          <w:smallCaps w:val="false"/>
          <w:sz w:val="20"/>
        </w:rPr>
        <w:t>third</w:t>
      </w:r>
      <w:r>
        <w:rPr>
          <w:rFonts w:ascii="Times New Roman" w:hAnsi="Times New Roman"/>
          <w:caps w:val="false"/>
          <w:smallCaps w:val="false"/>
          <w:sz w:val="20"/>
        </w:rPr>
        <w:t> party in connection with a regulatory priority review voucher, if issued, a low- to mid- double digit percentage of any consideration received for such transfer. The Company also agreed to pay Yale tiered royalties, ranging from a low- to mid- single digit percentage, on aggregate net sales of licensed products, subject to tiered minimum annual royalty payments ranging from the low- to mid- hundreds of thousands of dollars.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License Agreement payments made, other than the nominal upfront license fee,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and the year ended </w:t>
      </w:r>
      <w:r>
        <w:rPr>
          <w:rStyle w:val="Emphasis"/>
          <w:rFonts w:ascii="Times New Roman" w:hAnsi="Times New Roman"/>
          <w:caps w:val="false"/>
          <w:smallCaps w:val="false"/>
          <w:sz w:val="20"/>
        </w:rPr>
        <w:t xml:space="preserve">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Unless earlier terminated, the License Agreement will continue on a country-by-country basis until the later of (i) the date on which the last valid claim of the license patents expires or otherwise lapses, (ii) the end of any government or regulatory exclusivity period, and (iii) </w:t>
      </w:r>
      <w:r>
        <w:rPr>
          <w:rStyle w:val="Emphasis"/>
          <w:rFonts w:ascii="Times New Roman" w:hAnsi="Times New Roman"/>
          <w:caps w:val="false"/>
          <w:smallCaps w:val="false"/>
          <w:sz w:val="20"/>
        </w:rPr>
        <w:t>10</w:t>
      </w:r>
      <w:r>
        <w:rPr>
          <w:rFonts w:ascii="Times New Roman" w:hAnsi="Times New Roman"/>
          <w:caps w:val="false"/>
          <w:smallCaps w:val="false"/>
          <w:sz w:val="20"/>
        </w:rPr>
        <w:t> years following the date of </w:t>
      </w:r>
      <w:r>
        <w:rPr>
          <w:rStyle w:val="Emphasis"/>
          <w:rFonts w:ascii="Times New Roman" w:hAnsi="Times New Roman"/>
          <w:caps w:val="false"/>
          <w:smallCaps w:val="false"/>
          <w:sz w:val="20"/>
        </w:rPr>
        <w:t>first</w:t>
      </w:r>
      <w:r>
        <w:rPr>
          <w:rFonts w:ascii="Times New Roman" w:hAnsi="Times New Roman"/>
          <w:caps w:val="false"/>
          <w:smallCaps w:val="false"/>
          <w:sz w:val="20"/>
        </w:rPr>
        <w:t> sale of licensed product in such country.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2020</w:t>
      </w:r>
      <w:r>
        <w:rPr>
          <w:rFonts w:ascii="Times New Roman" w:hAnsi="Times New Roman"/>
          <w:b/>
          <w:caps w:val="false"/>
          <w:smallCaps w:val="false"/>
          <w:sz w:val="20"/>
        </w:rPr>
        <w:t xml:space="preserve"> Cash Incentive Bonus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August 2020, </w:t>
      </w:r>
      <w:r>
        <w:rPr>
          <w:rFonts w:ascii="Times New Roman" w:hAnsi="Times New Roman"/>
          <w:caps w:val="false"/>
          <w:smallCaps w:val="false"/>
          <w:sz w:val="20"/>
        </w:rPr>
        <w:t xml:space="preserve">the Board approved the CIB Plan. The CIB Plan was subsequently amended, as described below in </w:t>
      </w:r>
      <w:r>
        <w:rPr>
          <w:rStyle w:val="Emphasis"/>
          <w:rFonts w:ascii="Times New Roman" w:hAnsi="Times New Roman"/>
          <w:caps w:val="false"/>
          <w:smallCaps w:val="false"/>
          <w:sz w:val="20"/>
        </w:rPr>
        <w:t>March 2025.</w:t>
      </w:r>
      <w:r>
        <w:rPr>
          <w:rFonts w:ascii="Times New Roman" w:hAnsi="Times New Roman"/>
          <w:caps w:val="false"/>
          <w:smallCaps w:val="false"/>
          <w:sz w:val="20"/>
        </w:rPr>
        <w:t xml:space="preserve"> The CIB Plan was established as an “at-risk” cash bonus program that would reward CIB Plan participants with additional cash compensation in lockstep with significant increases in the Company’s market valuation (as measured by market capitalization or potential merger consideration). The CIB Plan is considered “at-risk” because CIB Plan participants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receive a cash bonus unless the Company’s market valuation increases significantly and certain other conditions specified in the CIB Plan are met. Specifically, CIB Plan participants will </w:t>
      </w:r>
      <w:r>
        <w:rPr>
          <w:rStyle w:val="Emphasis"/>
          <w:rFonts w:ascii="Times New Roman" w:hAnsi="Times New Roman"/>
          <w:caps w:val="false"/>
          <w:smallCaps w:val="false"/>
          <w:sz w:val="20"/>
        </w:rPr>
        <w:t>not</w:t>
      </w:r>
      <w:r>
        <w:rPr>
          <w:rFonts w:ascii="Times New Roman" w:hAnsi="Times New Roman"/>
          <w:caps w:val="false"/>
          <w:smallCaps w:val="false"/>
          <w:sz w:val="20"/>
        </w:rPr>
        <w:t> be paid any cash bonuses unless (</w:t>
      </w:r>
      <w:r>
        <w:rPr>
          <w:rStyle w:val="Emphasis"/>
          <w:rFonts w:ascii="Times New Roman" w:hAnsi="Times New Roman"/>
          <w:caps w:val="false"/>
          <w:smallCaps w:val="false"/>
          <w:sz w:val="20"/>
        </w:rPr>
        <w:t>1</w:t>
      </w:r>
      <w:r>
        <w:rPr>
          <w:rFonts w:ascii="Times New Roman" w:hAnsi="Times New Roman"/>
          <w:caps w:val="false"/>
          <w:smallCaps w:val="false"/>
          <w:sz w:val="20"/>
        </w:rPr>
        <w:t>) the Company completes a merger or acquisition transaction that constitutes a sale of ownership of the Company or its assets (a Merger Transaction) or (</w:t>
      </w:r>
      <w:r>
        <w:rPr>
          <w:rStyle w:val="Emphasis"/>
          <w:rFonts w:ascii="Times New Roman" w:hAnsi="Times New Roman"/>
          <w:caps w:val="false"/>
          <w:smallCaps w:val="false"/>
          <w:sz w:val="20"/>
        </w:rPr>
        <w:t>2</w:t>
      </w:r>
      <w:r>
        <w:rPr>
          <w:rFonts w:ascii="Times New Roman" w:hAnsi="Times New Roman"/>
          <w:caps w:val="false"/>
          <w:smallCaps w:val="false"/>
          <w:sz w:val="20"/>
        </w:rPr>
        <w:t>) the Compensation Committee of the Board (the Compensation Committee) determines the Company has sufficient cash on hand, as defined in the CIB Plan. CIB Plan participants will be paid all earned cash bonuses allocated under the CIB Plan in the event of a Merger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Because of the inherent discretion and uncertainty regarding the CIB Plan requirements, the Company has concluded that a CIB Plan grant date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occurred as of </w:t>
      </w:r>
      <w:r>
        <w:rPr>
          <w:rStyle w:val="Emphasis"/>
          <w:rFonts w:ascii="Times New Roman" w:hAnsi="Times New Roman"/>
          <w:caps w:val="false"/>
          <w:smallCaps w:val="false"/>
          <w:sz w:val="20"/>
        </w:rPr>
        <w:t>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The Company’s market valuation for purposes of the CIB Plan is determined based on either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closing price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share of the Company's common stock on the Nasdaq Capital Market multiplied by the total issued and outstanding shares and options to purchase shares of the Company, or (</w:t>
      </w:r>
      <w:r>
        <w:rPr>
          <w:rStyle w:val="Emphasis"/>
          <w:rFonts w:ascii="Times New Roman" w:hAnsi="Times New Roman"/>
          <w:caps w:val="false"/>
          <w:smallCaps w:val="false"/>
          <w:sz w:val="20"/>
        </w:rPr>
        <w:t>2</w:t>
      </w:r>
      <w:r>
        <w:rPr>
          <w:rFonts w:ascii="Times New Roman" w:hAnsi="Times New Roman"/>
          <w:caps w:val="false"/>
          <w:smallCaps w:val="false"/>
          <w:sz w:val="20"/>
        </w:rPr>
        <w:t>) the aggregate consideration payable to security holders of the Company in a Merger Transaction. This constitutes a market condition under applicable accounting guidance.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CIB Plan (as amended in </w:t>
      </w:r>
      <w:r>
        <w:rPr>
          <w:rStyle w:val="Emphasis"/>
          <w:rFonts w:ascii="Times New Roman" w:hAnsi="Times New Roman"/>
          <w:caps w:val="false"/>
          <w:smallCaps w:val="false"/>
          <w:sz w:val="20"/>
        </w:rPr>
        <w:t>March 2025</w:t>
      </w:r>
      <w:r>
        <w:rPr>
          <w:rFonts w:ascii="Times New Roman" w:hAnsi="Times New Roman"/>
          <w:caps w:val="false"/>
          <w:smallCaps w:val="false"/>
          <w:sz w:val="20"/>
        </w:rPr>
        <w:t xml:space="preserve">) triggers a potential cash bonus each time the Company’s market valuation increases significantly, up to a maximum $5 billion in market capitalization (or up to a maximum $8 billion in merger consideration). The CIB Plan specifies incremental amounts between $200 million and $5 billion in market capitalization (or $8 billion in merger consideration) (each increment, a “Valuation Milestone”). Each Valuation Milestone triggers a potential cash bonus award in a pre-set amount defined in the CIB Plan. Each Valuation Milestone based on market capitalization must be achieved and maintained for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less than 20 consecutive trading days for CIB Plan participants to be eligible for a potential cash bonus award (the “Market Capitalization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Payment of cash bonuses is deferred until such time as (</w:t>
      </w:r>
      <w:r>
        <w:rPr>
          <w:rStyle w:val="Emphasis"/>
          <w:rFonts w:ascii="Times New Roman" w:hAnsi="Times New Roman"/>
          <w:caps w:val="false"/>
          <w:smallCaps w:val="false"/>
          <w:sz w:val="20"/>
        </w:rPr>
        <w:t>1</w:t>
      </w:r>
      <w:r>
        <w:rPr>
          <w:rFonts w:ascii="Times New Roman" w:hAnsi="Times New Roman"/>
          <w:caps w:val="false"/>
          <w:smallCaps w:val="false"/>
          <w:sz w:val="20"/>
        </w:rPr>
        <w:t>) the Company completes a Merger Transaction, or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Compensation Committee determines the Company has sufficient cash on hand to render payment (each, a “Performance Condition”), neither of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ever occur. Accordingly, CIB Plan participants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never be paid a cash bonus that is awarded under the CIB Plan, even if the Company’s market capitalization increases significantly.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CIB Plan is accounted for as a liability award. The fair value of each Valuation Milestone award will be determined once a grant date occurs and will be remeasured each reporting period. Compensation expense associated with the CIB Plan will be recognized over the expected achievement period for each of the Valuation Milestones, when a Performance Condition is considered probable of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2020, </w:t>
      </w:r>
      <w:r>
        <w:rPr>
          <w:rFonts w:ascii="Times New Roman" w:hAnsi="Times New Roman"/>
          <w:caps w:val="false"/>
          <w:smallCaps w:val="false"/>
          <w:sz w:val="20"/>
        </w:rPr>
        <w:t xml:space="preserve">the Company achieved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Valuation Milestone based on market capitalization. Subsequently in </w:t>
      </w:r>
      <w:r>
        <w:rPr>
          <w:rStyle w:val="Emphasis"/>
          <w:rFonts w:ascii="Times New Roman" w:hAnsi="Times New Roman"/>
          <w:caps w:val="false"/>
          <w:smallCaps w:val="false"/>
          <w:sz w:val="20"/>
        </w:rPr>
        <w:t>2020,</w:t>
      </w:r>
      <w:r>
        <w:rPr>
          <w:rFonts w:ascii="Times New Roman" w:hAnsi="Times New Roman"/>
          <w:caps w:val="false"/>
          <w:smallCaps w:val="false"/>
          <w:sz w:val="20"/>
        </w:rPr>
        <w:t xml:space="preserve"> the Compensation Committee approved a potential cash bonus award of $6.5 million in total for all CIB Plan participants (after taking into account a </w:t>
      </w:r>
      <w:r>
        <w:rPr>
          <w:rStyle w:val="Emphasis"/>
          <w:rFonts w:ascii="Times New Roman" w:hAnsi="Times New Roman"/>
          <w:caps w:val="false"/>
          <w:smallCaps w:val="false"/>
          <w:sz w:val="20"/>
        </w:rPr>
        <w:t xml:space="preserve"> March 2023 </w:t>
      </w:r>
      <w:r>
        <w:rPr>
          <w:rFonts w:ascii="Times New Roman" w:hAnsi="Times New Roman"/>
          <w:caps w:val="false"/>
          <w:smallCaps w:val="false"/>
          <w:sz w:val="20"/>
        </w:rPr>
        <w:t xml:space="preserve">CIB Plan amendment), subject to future satisfaction of a Performance Condition.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continuing service requirement for CIB Plan participants once the Compensation Committee approves a cash bonus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year ended </w:t>
      </w:r>
      <w:r>
        <w:rPr>
          <w:rStyle w:val="Emphasis"/>
          <w:rFonts w:ascii="Times New Roman" w:hAnsi="Times New Roman"/>
          <w:caps w:val="false"/>
          <w:smallCaps w:val="false"/>
          <w:sz w:val="20"/>
        </w:rPr>
        <w:t xml:space="preserve">December 31, 2021, </w:t>
      </w:r>
      <w:r>
        <w:rPr>
          <w:rFonts w:ascii="Times New Roman" w:hAnsi="Times New Roman"/>
          <w:caps w:val="false"/>
          <w:smallCaps w:val="false"/>
          <w:sz w:val="20"/>
        </w:rPr>
        <w:t>the Company achieved 11 additional Valuation Milestones based on market capitalization. The achievement of these 11 milestones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triggered a non-discretionary potential Company obligation to the Company’s Chairman, President and CEO (assuming such person holds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such offices) of $74.3 million (after taking into account a </w:t>
      </w:r>
      <w:r>
        <w:rPr>
          <w:rStyle w:val="Emphasis"/>
          <w:rFonts w:ascii="Times New Roman" w:hAnsi="Times New Roman"/>
          <w:caps w:val="false"/>
          <w:smallCaps w:val="false"/>
          <w:sz w:val="20"/>
        </w:rPr>
        <w:t xml:space="preserve"> March 2023 </w:t>
      </w:r>
      <w:r>
        <w:rPr>
          <w:rFonts w:ascii="Times New Roman" w:hAnsi="Times New Roman"/>
          <w:caps w:val="false"/>
          <w:smallCaps w:val="false"/>
          <w:sz w:val="20"/>
        </w:rPr>
        <w:t>CIB Plan amendment) and contingent upon future satisfaction of a Performance Condition. However, </w:t>
      </w:r>
      <w:r>
        <w:rPr>
          <w:rStyle w:val="Emphasis"/>
          <w:rFonts w:ascii="Times New Roman" w:hAnsi="Times New Roman"/>
          <w:caps w:val="false"/>
          <w:smallCaps w:val="false"/>
          <w:sz w:val="20"/>
        </w:rPr>
        <w:t>no</w:t>
      </w:r>
      <w:r>
        <w:rPr>
          <w:rFonts w:ascii="Times New Roman" w:hAnsi="Times New Roman"/>
          <w:caps w:val="false"/>
          <w:smallCaps w:val="false"/>
          <w:sz w:val="20"/>
        </w:rPr>
        <w:t> compensation expense has been recorded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payments have been made since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grant date has occurred and </w:t>
      </w:r>
      <w:r>
        <w:rPr>
          <w:rStyle w:val="Emphasis"/>
          <w:rFonts w:ascii="Times New Roman" w:hAnsi="Times New Roman"/>
          <w:caps w:val="false"/>
          <w:smallCaps w:val="false"/>
          <w:sz w:val="20"/>
        </w:rPr>
        <w:t>no</w:t>
      </w:r>
      <w:r>
        <w:rPr>
          <w:rFonts w:ascii="Times New Roman" w:hAnsi="Times New Roman"/>
          <w:caps w:val="false"/>
          <w:smallCaps w:val="false"/>
          <w:sz w:val="20"/>
        </w:rPr>
        <w:t> Performance Conditions are considered probable of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No Valuation Milestones were achieved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 </w:t>
      </w:r>
      <w:r>
        <w:rPr>
          <w:rFonts w:ascii="Times New Roman" w:hAnsi="Times New Roman"/>
          <w:caps w:val="false"/>
          <w:smallCaps w:val="false"/>
          <w:sz w:val="20"/>
        </w:rPr>
        <w:t xml:space="preserve">and the years ended </w:t>
      </w:r>
      <w:r>
        <w:rPr>
          <w:rStyle w:val="Emphasis"/>
          <w:rFonts w:ascii="Times New Roman" w:hAnsi="Times New Roman"/>
          <w:caps w:val="false"/>
          <w:smallCaps w:val="false"/>
          <w:sz w:val="20"/>
        </w:rPr>
        <w:t>December 31, 2025, 2024,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February 2025,</w:t>
      </w:r>
      <w:r>
        <w:rPr>
          <w:rFonts w:ascii="Times New Roman" w:hAnsi="Times New Roman"/>
          <w:caps w:val="false"/>
          <w:smallCaps w:val="false"/>
          <w:sz w:val="20"/>
        </w:rPr>
        <w:t xml:space="preserve"> the Compensation Committee concluded that no discretionary cash bonus amounts would be awarded for the 11 Valuation Milestones achieved in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nor for any remaining CIB Plan Valuation Milestones which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achieved. Thus, the only CIB Plan participant who could be eligible for cash bonus amounts based on future Valuation Milestone achievement is the Chairman, President and CEO (assuming such person holds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such offices), providing that, other than in connection with a Merger Transaction,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bonus payments will be made to such person unless and until the U.S. Food and Drug Administration has approved simufilam for any indication.</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January 2025,</w:t>
      </w:r>
      <w:r>
        <w:rPr>
          <w:rFonts w:ascii="Times New Roman" w:hAnsi="Times New Roman"/>
          <w:caps w:val="false"/>
          <w:smallCaps w:val="false"/>
          <w:sz w:val="20"/>
        </w:rPr>
        <w:t xml:space="preserve"> the Delaware Court of Chancery entered a Final Order and Judgment dismissing an action related to the CIB Plan with prejudice. The Final Order and Judgment required the Company to further amend the CIB Plan which was completed in </w:t>
      </w:r>
      <w:r>
        <w:rPr>
          <w:rStyle w:val="Emphasis"/>
          <w:rFonts w:ascii="Times New Roman" w:hAnsi="Times New Roman"/>
          <w:caps w:val="false"/>
          <w:smallCaps w:val="false"/>
          <w:sz w:val="20"/>
        </w:rPr>
        <w:t>March 2025.</w:t>
      </w:r>
      <w:r>
        <w:rPr>
          <w:rFonts w:ascii="Times New Roman" w:hAnsi="Times New Roman"/>
          <w:caps w:val="false"/>
          <w:smallCaps w:val="false"/>
          <w:sz w:val="20"/>
        </w:rPr>
        <w:t xml:space="preserve"> The </w:t>
      </w:r>
      <w:r>
        <w:rPr>
          <w:rStyle w:val="Emphasis"/>
          <w:rFonts w:ascii="Times New Roman" w:hAnsi="Times New Roman"/>
          <w:caps w:val="false"/>
          <w:smallCaps w:val="false"/>
          <w:sz w:val="20"/>
        </w:rPr>
        <w:t>March 2025</w:t>
      </w:r>
      <w:r>
        <w:rPr>
          <w:rFonts w:ascii="Times New Roman" w:hAnsi="Times New Roman"/>
          <w:caps w:val="false"/>
          <w:smallCaps w:val="false"/>
          <w:sz w:val="20"/>
        </w:rPr>
        <w:t xml:space="preserve"> Amendment specifies that upon the occurrence of a Merger Transaction, the Chairman, President and CEO (assuming such person holds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such offices)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entitled to any payments in respect of any Market Capitalization Conditions, but will instead be entitled to receive a bonus payment based upon the Merger Transaction only. Cash bonuses to the Chairman, President and CEO (assuming such person holds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offices)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subject to discretionary allocation under the CIB Plan.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person currently holds all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offices of Chairman, President and CEO.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No actual cash payments were authorized or made to participants under the CIB Plan through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the date of filing of this Quarterly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-Q.</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is, and from time to time,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become, involved in litigation or other legal proceedings and claims, including U.S. government inquiries, investigations and Citizen Petitions submitted to the U.S. Food and Drug Administration (“FDA”). In addition, the Company has received, and from time to time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receive, inquiries from government authorities relating to matters arising from the ordinary course of business. The outcome of these proceedings is inherently uncertain. Regardless of outcome, legal proceedings can have an adverse impact on the Company because of defense and settlement costs, diversion of management resources, and other factors. At this time,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assessment can be made as to their likely outcome or whether the outcome will be material to the Company other than as disclosed below. The Company believes that its total provisions for legal matters are adequate based upon currently 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Government Investigations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Beginning in </w:t>
      </w:r>
      <w:r>
        <w:rPr>
          <w:rStyle w:val="Emphasis"/>
          <w:rFonts w:ascii="Times New Roman" w:hAnsi="Times New Roman"/>
          <w:caps w:val="false"/>
          <w:smallCaps w:val="false"/>
          <w:sz w:val="20"/>
        </w:rPr>
        <w:t xml:space="preserve">August 2021, </w:t>
      </w:r>
      <w:r>
        <w:rPr>
          <w:rFonts w:ascii="Times New Roman" w:hAnsi="Times New Roman"/>
          <w:caps w:val="false"/>
          <w:smallCaps w:val="false"/>
          <w:sz w:val="20"/>
        </w:rPr>
        <w:t>the Company received subpoenas and other requests for documents and information from the Department of Justice Fraud Section (the "DOJ Fraud Section”), document requests from the SEC, and a Civil Investigative Demand from the Civil Division of the Department of Justice (the “DOJ Civil Division”). These requests sought corporate information and documents concerning the research and development of simufilam and/or SavaDx, and the Company cooperated fully with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26, 2024, </w:t>
      </w:r>
      <w:r>
        <w:rPr>
          <w:rFonts w:ascii="Times New Roman" w:hAnsi="Times New Roman"/>
          <w:caps w:val="false"/>
          <w:smallCaps w:val="false"/>
          <w:sz w:val="20"/>
        </w:rPr>
        <w:t xml:space="preserve">the Company announced that it had reached a settlement with the SEC resolving the SEC investigation of the Company’s disclosures regarding its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clinical trial of simufilam for the treatment of Alzheimer’s disease (the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Study”) and related matters. The SEC also agreed to a settlement with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former senior employees of the Company. Pursuant to these settlements, the U.S. District Court for the Western District of Texas (the “Texas District Court”) entered final consent judgment on </w:t>
      </w:r>
      <w:r>
        <w:rPr>
          <w:rStyle w:val="Emphasis"/>
          <w:rFonts w:ascii="Times New Roman" w:hAnsi="Times New Roman"/>
          <w:caps w:val="false"/>
          <w:smallCaps w:val="false"/>
          <w:sz w:val="20"/>
        </w:rPr>
        <w:t xml:space="preserve">October 18, 2024, </w:t>
      </w:r>
      <w:r>
        <w:rPr>
          <w:rFonts w:ascii="Times New Roman" w:hAnsi="Times New Roman"/>
          <w:caps w:val="false"/>
          <w:smallCaps w:val="false"/>
          <w:sz w:val="20"/>
        </w:rPr>
        <w:t xml:space="preserve">on a complaint filed by the SEC against the Company and its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former senior employees. The Company has neither admitted nor denied the allegations of the complaint. The SEC’s complaint alleged that certain disclosures by the Company regarding the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Study violated certain federal securities laws and SEC rules, including negligence-based disclosure violations of Sections </w:t>
      </w:r>
      <w:r>
        <w:rPr>
          <w:rStyle w:val="Emphasis"/>
          <w:rFonts w:ascii="Times New Roman" w:hAnsi="Times New Roman"/>
          <w:caps w:val="false"/>
          <w:smallCaps w:val="false"/>
          <w:sz w:val="20"/>
        </w:rPr>
        <w:t>17</w:t>
      </w:r>
      <w:r>
        <w:rPr>
          <w:rFonts w:ascii="Times New Roman" w:hAnsi="Times New Roman"/>
          <w:caps w:val="false"/>
          <w:smallCaps w:val="false"/>
          <w:sz w:val="20"/>
        </w:rPr>
        <w:t>(a)(</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17</w:t>
      </w:r>
      <w:r>
        <w:rPr>
          <w:rFonts w:ascii="Times New Roman" w:hAnsi="Times New Roman"/>
          <w:caps w:val="false"/>
          <w:smallCaps w:val="false"/>
          <w:sz w:val="20"/>
        </w:rPr>
        <w:t>(a)(</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“Securities Act”), as well as recordkeeping and reporting requirements under the Securities Exchange Act of </w:t>
      </w:r>
      <w:r>
        <w:rPr>
          <w:rStyle w:val="Emphasis"/>
          <w:rFonts w:ascii="Times New Roman" w:hAnsi="Times New Roman"/>
          <w:caps w:val="false"/>
          <w:smallCaps w:val="false"/>
          <w:sz w:val="20"/>
        </w:rPr>
        <w:t>1934,</w:t>
      </w:r>
      <w:r>
        <w:rPr>
          <w:rFonts w:ascii="Times New Roman" w:hAnsi="Times New Roman"/>
          <w:caps w:val="false"/>
          <w:smallCaps w:val="false"/>
          <w:sz w:val="20"/>
        </w:rPr>
        <w:t xml:space="preserve"> as amended (the “Exchange Act”). The complaint alleges that the Company’s SEC reports and other public statements regarding the Phase </w:t>
      </w:r>
      <w:r>
        <w:rPr>
          <w:rStyle w:val="Emphasis"/>
          <w:rFonts w:ascii="Times New Roman" w:hAnsi="Times New Roman"/>
          <w:caps w:val="false"/>
          <w:smallCaps w:val="false"/>
          <w:sz w:val="20"/>
        </w:rPr>
        <w:t>2b</w:t>
      </w:r>
      <w:r>
        <w:rPr>
          <w:rFonts w:ascii="Times New Roman" w:hAnsi="Times New Roman"/>
          <w:caps w:val="false"/>
          <w:smallCaps w:val="false"/>
          <w:sz w:val="20"/>
        </w:rPr>
        <w:t xml:space="preserve"> Study negligently contained materially misleading statements and omissions. The SEC’s allegations with respect to the Company’s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former employees relate to these employees’ roles in such disclosures. Under its settlement, the Company consented to a permanent injunction against future violations of Section </w:t>
      </w:r>
      <w:r>
        <w:rPr>
          <w:rStyle w:val="Emphasis"/>
          <w:rFonts w:ascii="Times New Roman" w:hAnsi="Times New Roman"/>
          <w:caps w:val="false"/>
          <w:smallCaps w:val="false"/>
          <w:sz w:val="20"/>
        </w:rPr>
        <w:t>17</w:t>
      </w:r>
      <w:r>
        <w:rPr>
          <w:rFonts w:ascii="Times New Roman" w:hAnsi="Times New Roman"/>
          <w:caps w:val="false"/>
          <w:smallCaps w:val="false"/>
          <w:sz w:val="20"/>
        </w:rPr>
        <w:t xml:space="preserve">(a) of the Securities Act, Section </w:t>
      </w:r>
      <w:r>
        <w:rPr>
          <w:rStyle w:val="Emphasis"/>
          <w:rFonts w:ascii="Times New Roman" w:hAnsi="Times New Roman"/>
          <w:caps w:val="false"/>
          <w:smallCaps w:val="false"/>
          <w:sz w:val="20"/>
        </w:rPr>
        <w:t>13</w:t>
      </w:r>
      <w:r>
        <w:rPr>
          <w:rFonts w:ascii="Times New Roman" w:hAnsi="Times New Roman"/>
          <w:caps w:val="false"/>
          <w:smallCaps w:val="false"/>
          <w:sz w:val="20"/>
        </w:rPr>
        <w:t>(a)(</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of the Exchange Act and Rules </w:t>
      </w:r>
      <w:r>
        <w:rPr>
          <w:rStyle w:val="Emphasis"/>
          <w:rFonts w:ascii="Times New Roman" w:hAnsi="Times New Roman"/>
          <w:caps w:val="false"/>
          <w:smallCaps w:val="false"/>
          <w:sz w:val="20"/>
        </w:rPr>
        <w:t>12b</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13a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13a</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13a</w:t>
      </w:r>
      <w:r>
        <w:rPr>
          <w:rFonts w:ascii="Times New Roman" w:hAnsi="Times New Roman"/>
          <w:caps w:val="false"/>
          <w:smallCaps w:val="false"/>
          <w:sz w:val="20"/>
        </w:rPr>
        <w:t>-</w:t>
      </w:r>
      <w:r>
        <w:rPr>
          <w:rStyle w:val="Emphasis"/>
          <w:rFonts w:ascii="Times New Roman" w:hAnsi="Times New Roman"/>
          <w:caps w:val="false"/>
          <w:smallCaps w:val="false"/>
          <w:sz w:val="20"/>
        </w:rPr>
        <w:t>13</w:t>
      </w:r>
      <w:r>
        <w:rPr>
          <w:rFonts w:ascii="Times New Roman" w:hAnsi="Times New Roman"/>
          <w:caps w:val="false"/>
          <w:smallCaps w:val="false"/>
          <w:sz w:val="20"/>
        </w:rPr>
        <w:t xml:space="preserve"> under the Exchange Act. In addition, the Company paid a civil monetary penalty of </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million in </w:t>
      </w:r>
      <w:r>
        <w:rPr>
          <w:rStyle w:val="Emphasis"/>
          <w:rFonts w:ascii="Times New Roman" w:hAnsi="Times New Roman"/>
          <w:caps w:val="false"/>
          <w:smallCaps w:val="false"/>
          <w:sz w:val="20"/>
        </w:rPr>
        <w:t>November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18, 2026, </w:t>
      </w:r>
      <w:r>
        <w:rPr>
          <w:rFonts w:ascii="Times New Roman" w:hAnsi="Times New Roman"/>
          <w:caps w:val="false"/>
          <w:smallCaps w:val="false"/>
          <w:sz w:val="20"/>
        </w:rPr>
        <w:t>the DOJ Fraud Section notified the Company that it had closed its inquiry into the Company regarding allegations of research misconduct as described in the indictment in </w:t>
      </w:r>
      <w:r>
        <w:rPr>
          <w:rFonts w:ascii="Times New Roman" w:hAnsi="Times New Roman"/>
          <w:i/>
          <w:caps w:val="false"/>
          <w:smallCaps w:val="false"/>
          <w:sz w:val="20"/>
        </w:rPr>
        <w:t>United States</w:t>
      </w:r>
      <w:r>
        <w:rPr>
          <w:rFonts w:ascii="Times New Roman" w:hAnsi="Times New Roman"/>
          <w:caps w:val="false"/>
          <w:smallCaps w:val="false"/>
          <w:sz w:val="20"/>
        </w:rPr>
        <w:t> </w:t>
      </w:r>
      <w:r>
        <w:rPr>
          <w:rFonts w:ascii="Times New Roman" w:hAnsi="Times New Roman"/>
          <w:i/>
          <w:caps w:val="false"/>
          <w:smallCaps w:val="false"/>
          <w:sz w:val="20"/>
        </w:rPr>
        <w:t>v. Wang</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8:24</w:t>
      </w:r>
      <w:r>
        <w:rPr>
          <w:rFonts w:ascii="Times New Roman" w:hAnsi="Times New Roman"/>
          <w:caps w:val="false"/>
          <w:smallCaps w:val="false"/>
          <w:sz w:val="20"/>
        </w:rPr>
        <w:t>-cr-</w:t>
      </w:r>
      <w:r>
        <w:rPr>
          <w:rStyle w:val="Emphasis"/>
          <w:rFonts w:ascii="Times New Roman" w:hAnsi="Times New Roman"/>
          <w:caps w:val="false"/>
          <w:smallCaps w:val="false"/>
          <w:sz w:val="20"/>
        </w:rPr>
        <w:t>000211</w:t>
      </w:r>
      <w:r>
        <w:rPr>
          <w:rFonts w:ascii="Times New Roman" w:hAnsi="Times New Roman"/>
          <w:caps w:val="false"/>
          <w:smallCaps w:val="false"/>
          <w:sz w:val="20"/>
        </w:rPr>
        <w:t>-TDC (D. Md.). As previously disclosed, that indictment was dismissed with prejudice on </w:t>
      </w:r>
      <w:r>
        <w:rPr>
          <w:rStyle w:val="Emphasis"/>
          <w:rFonts w:ascii="Times New Roman" w:hAnsi="Times New Roman"/>
          <w:caps w:val="false"/>
          <w:smallCaps w:val="false"/>
          <w:sz w:val="20"/>
        </w:rPr>
        <w:t xml:space="preserve"> October 23,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outcomes end the previously disclosed investigations of the Company by the DOJ Fraud Section and the SEC. The Company is aware, however, that the DOJ Civil Division continues to seek information concerning the research and development of simufilam and SavaDx.</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Consolidated Securities Class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Between </w:t>
      </w:r>
      <w:r>
        <w:rPr>
          <w:rStyle w:val="Emphasis"/>
          <w:rFonts w:ascii="Times New Roman" w:hAnsi="Times New Roman"/>
          <w:caps w:val="false"/>
          <w:smallCaps w:val="false"/>
          <w:sz w:val="20"/>
        </w:rPr>
        <w:t xml:space="preserve">August 27,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October 26, 2021, four</w:t>
      </w:r>
      <w:r>
        <w:rPr>
          <w:rFonts w:ascii="Times New Roman" w:hAnsi="Times New Roman"/>
          <w:caps w:val="false"/>
          <w:smallCaps w:val="false"/>
          <w:sz w:val="20"/>
        </w:rPr>
        <w:t xml:space="preserve"> putative class action lawsuits were filed in the Texas District Court alleging violations of the federal securities laws by the Company and certain named officers. The complaints rely on allegations contained in Citizen Petitions submitted to FDA and allege that various statements made by the defendants regarding simufilam were rendered materially false and misleading. The Citizen Petitions were all subsequently denied by FDA. The complaints seek unspecified compensatory damages and other relief on behalf of a purported class of purchasers of the Company’s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36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June 2022, </w:t>
      </w:r>
      <w:r>
        <w:rPr>
          <w:rFonts w:ascii="Times New Roman;Times;serif" w:hAnsi="Times New Roman;Times;serif"/>
          <w:sz w:val="20"/>
        </w:rPr>
        <w:t xml:space="preserve">the Texas District Court consolidated the four class action lawsuits into one case (the “Consolidated Securities Action”) and appointed a lead plaintiff and a lead counsel. Lead plaintiff thereafter filed a consolidated amended complaint on behalf of a putative class of purchasers of the Company’s securities between </w:t>
      </w:r>
      <w:r>
        <w:rPr>
          <w:rStyle w:val="Emphasis"/>
          <w:rFonts w:ascii="Times New Roman;Times;serif" w:hAnsi="Times New Roman;Times;serif"/>
          <w:sz w:val="20"/>
        </w:rPr>
        <w:t xml:space="preserve">September 14, 2020 </w:t>
      </w:r>
      <w:r>
        <w:rPr>
          <w:rFonts w:ascii="Times New Roman;Times;serif" w:hAnsi="Times New Roman;Times;serif"/>
          <w:sz w:val="20"/>
        </w:rPr>
        <w:t xml:space="preserve">and </w:t>
      </w:r>
      <w:r>
        <w:rPr>
          <w:rStyle w:val="Emphasis"/>
          <w:rFonts w:ascii="Times New Roman;Times;serif" w:hAnsi="Times New Roman;Times;serif"/>
          <w:sz w:val="20"/>
        </w:rPr>
        <w:t xml:space="preserve">July 26, 2022. </w:t>
      </w:r>
      <w:r>
        <w:rPr>
          <w:rFonts w:ascii="Times New Roman;Times;serif" w:hAnsi="Times New Roman;Times;serif"/>
          <w:sz w:val="20"/>
        </w:rPr>
        <w:t xml:space="preserve">In </w:t>
      </w:r>
      <w:r>
        <w:rPr>
          <w:rStyle w:val="Emphasis"/>
          <w:rFonts w:ascii="Times New Roman;Times;serif" w:hAnsi="Times New Roman;Times;serif"/>
          <w:sz w:val="20"/>
        </w:rPr>
        <w:t xml:space="preserve">May 2023, </w:t>
      </w:r>
      <w:r>
        <w:rPr>
          <w:rFonts w:ascii="Times New Roman;Times;serif" w:hAnsi="Times New Roman;Times;serif"/>
          <w:sz w:val="20"/>
        </w:rPr>
        <w:t>the Texas District Court dismissed with prejudice plaintiffs’ claims against defendant Nadav Friedmann, PhD, MD, our former Chief Medical Officer and a Company director, who is now deceased, but otherwise denied defendants’ motion to dismiss.</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rFonts w:ascii="Times New Roman;Times;serif" w:hAnsi="Times New Roman;Times;serif"/>
          <w:sz w:val="20"/>
        </w:rPr>
        <w:t xml:space="preserve">In </w:t>
      </w:r>
      <w:r>
        <w:rPr>
          <w:rStyle w:val="Emphasis"/>
          <w:rFonts w:ascii="Times New Roman;Times;serif" w:hAnsi="Times New Roman;Times;serif"/>
          <w:sz w:val="20"/>
        </w:rPr>
        <w:t>June 2024,</w:t>
      </w:r>
      <w:r>
        <w:rPr>
          <w:rFonts w:ascii="Times New Roman;Times;serif" w:hAnsi="Times New Roman;Times;serif"/>
          <w:sz w:val="20"/>
        </w:rPr>
        <w:t xml:space="preserve"> plaintiffs filed a supplemental complaint extending the putative class period through </w:t>
      </w:r>
      <w:r>
        <w:rPr>
          <w:rStyle w:val="Emphasis"/>
          <w:rFonts w:ascii="Times New Roman;Times;serif" w:hAnsi="Times New Roman;Times;serif"/>
          <w:sz w:val="20"/>
        </w:rPr>
        <w:t>October 12,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a putative class action lawsuit was filed in the U.S. District Court for the Northern District of Illinois (“Illinois District Court”) alleging violations of the federal securities law by the Company and certain named officers. The complaint relies on an </w:t>
      </w:r>
      <w:r>
        <w:rPr>
          <w:rStyle w:val="Emphasis"/>
          <w:rFonts w:ascii="Times New Roman" w:hAnsi="Times New Roman"/>
          <w:caps w:val="false"/>
          <w:smallCaps w:val="false"/>
          <w:sz w:val="20"/>
        </w:rPr>
        <w:t xml:space="preserve">October 12, 2023, </w:t>
      </w:r>
      <w:r>
        <w:rPr>
          <w:rFonts w:ascii="Times New Roman" w:hAnsi="Times New Roman"/>
          <w:caps w:val="false"/>
          <w:smallCaps w:val="false"/>
          <w:sz w:val="20"/>
        </w:rPr>
        <w:t>article that describes a purported leaked report of alleged scientific misconduct by a scientific collaborator of the Company at City University of New York (the “CUNY Article”). The complaint alleges that various statements made by the defendants regarding simufilam were rendered materially false and misleading by this article. This action was subsequently transferred to the Texas District Court and consolidated into the Consolidated Securities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plaintiffs in the Consolidated Securities Action filed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supplemental complaint. The Texas District Court granted plaintiffs’ motion for class certification in </w:t>
      </w:r>
      <w:r>
        <w:rPr>
          <w:rStyle w:val="Emphasis"/>
          <w:rFonts w:ascii="Times New Roman" w:hAnsi="Times New Roman"/>
          <w:caps w:val="false"/>
          <w:smallCaps w:val="false"/>
          <w:sz w:val="20"/>
        </w:rPr>
        <w:t>August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October 2025,</w:t>
      </w:r>
      <w:r>
        <w:rPr>
          <w:rFonts w:ascii="Times New Roman" w:hAnsi="Times New Roman"/>
          <w:caps w:val="false"/>
          <w:smallCaps w:val="false"/>
          <w:sz w:val="20"/>
        </w:rPr>
        <w:t xml:space="preserve"> the United States Court of Appeals for the Fifth Circuit (the “Fifth Circuit”) agreed to hear Defendants’ interlocutory appeal challenging the District Court order granting class certification. Oral argument is scheduled for </w:t>
      </w:r>
      <w:r>
        <w:rPr>
          <w:rStyle w:val="Emphasis"/>
          <w:rFonts w:ascii="Times New Roman" w:hAnsi="Times New Roman"/>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Beginning in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the parties to the Consolidated Securities Action engaged in mediation with David M. Murphy of Phillips Alternative Dispute Resolutions Enterprises. 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plaintiffs filed a Final Alternative Dispute Resolution Report with the Texas District Court as required by Local Rule CV-</w:t>
      </w:r>
      <w:r>
        <w:rPr>
          <w:rStyle w:val="Emphasis"/>
          <w:rFonts w:ascii="Times New Roman" w:hAnsi="Times New Roman"/>
          <w:caps w:val="false"/>
          <w:smallCaps w:val="false"/>
          <w:sz w:val="20"/>
        </w:rPr>
        <w:t>88</w:t>
      </w:r>
      <w:r>
        <w:rPr>
          <w:rFonts w:ascii="Times New Roman" w:hAnsi="Times New Roman"/>
          <w:caps w:val="false"/>
          <w:smallCaps w:val="false"/>
          <w:sz w:val="20"/>
        </w:rPr>
        <w:t xml:space="preserve">(g) stating that the Company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its officers (the “Settling Defendants”) and plaintiffs had entered a binding term sheet to settle the Consolidated Securities 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18, 2026, </w:t>
      </w:r>
      <w:r>
        <w:rPr>
          <w:rFonts w:ascii="Times New Roman" w:hAnsi="Times New Roman"/>
          <w:caps w:val="false"/>
          <w:smallCaps w:val="false"/>
          <w:sz w:val="20"/>
        </w:rPr>
        <w:t xml:space="preserve">the Settling Defendants and plaintiffs filed a stipulation of settlement (the “Stipulation”), and plaintiffs filed a motion for preliminary approval of a settlement, pursuant to which the Settling Defendants will pay plaintiffs $31.25 million to achieve a complete settlement of all claims and causes of action that have been or could be asserted by Plaintiffs in exchange for full and complete releases from the plaintiffs. Although defendants Remi Barbier and Lindsay Burns (the “Non-Settling Defendants”)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parties to the settlement, these individuals are indemnified by the Company and are entitled to receive full and complete releases along with Settling Defendants upon final approval of a settlement by the Texas District Court. The settlement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admission of fault or wrongdoing by the Company or any of the other defendants.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July 23, 2026, </w:t>
      </w:r>
      <w:r>
        <w:rPr>
          <w:rFonts w:ascii="Times New Roman" w:hAnsi="Times New Roman"/>
          <w:caps w:val="false"/>
          <w:smallCaps w:val="false"/>
          <w:sz w:val="20"/>
        </w:rPr>
        <w:t>the Company paid into escrow $31.25 million as required by the Stipulation. Following preliminary approval of the proposed settlement by the Texas District Court and a notice and review period for class members, plaintiffs will seek final approval of the proposed settlement from the Texas District Court. If the settlement is approved and the settlement funds are released, the plaintiffs and the class will grant full and complete releases in favor of the Settling Defendants and the Non-Settling Defendants of all of their claims that were or could have been asserted in the Consolidated Securities Action and will dismiss with prejudice the claims asserted against the Non-Settling Defendants.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The Company recorded a loss contingency of $31.25 million in accounts payable and other accrued expenses in the Condensed Consolidated Balance Sheets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relating to the Consolidated Securities Action. Subsequent to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the amount was paid into escrow and will be restricted until final Texas District Court approval.</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100" w:right="0" w:hanging="0"/>
        <w:jc w:val="left"/>
        <w:rPr>
          <w:rFonts w:ascii="Times New Roman" w:hAnsi="Times New Roman"/>
          <w:i/>
          <w:caps w:val="false"/>
          <w:smallCaps w:val="false"/>
          <w:sz w:val="20"/>
        </w:rPr>
      </w:pPr>
      <w:r>
        <w:rPr>
          <w:rFonts w:ascii="Times New Roman" w:hAnsi="Times New Roman"/>
          <w:i/>
          <w:caps w:val="false"/>
          <w:smallCaps w:val="false"/>
          <w:sz w:val="20"/>
        </w:rPr>
        <w:t>Shareholder Derivative Actions</w:t>
      </w:r>
    </w:p>
    <w:p>
      <w:pPr>
        <w:pStyle w:val="TextBody"/>
        <w:bidi w:val="0"/>
        <w:spacing w:before="0" w:after="0"/>
        <w:ind w:left="0" w:right="0" w:hanging="0"/>
        <w:jc w:val="left"/>
        <w:rPr/>
      </w:pPr>
      <w:r>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4, 2021, </w:t>
      </w:r>
      <w:r>
        <w:rPr>
          <w:rFonts w:ascii="Times New Roman" w:hAnsi="Times New Roman"/>
          <w:caps w:val="false"/>
          <w:smallCaps w:val="false"/>
          <w:sz w:val="20"/>
        </w:rPr>
        <w:t xml:space="preserve">a shareholder derivative action related to the initial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class action lawsuits filed in the Texas District Court was filed, purportedly on behalf of the Company, in the Texas District Court, asserting claims under the U.S. securities laws and state fiduciary duty laws against certain named officers and the members of the Company’s Board. This complaint relies on the allegations made in Citizen Petitions that were submitted to (and subsequently denied by) FDA. The complaint alleges, among other things, that the individual defendants exposed the Company to unspecified damages and securities law liability by causing it to make materially false and misleading statements, in violation of the U.S. securities laws and in breach of their fiduciary duties to the Company. The derivative case seeks, among other things, to recover unspecified compensatory damages on behalf of the Company arising out of the individual defendants’ alleged wrongful conduct. Although the plaintiff in this derivative case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seek relief against the Company, the Company has certain indemnification obligations to the individual defendants. Between </w:t>
      </w:r>
      <w:r>
        <w:rPr>
          <w:rStyle w:val="Emphasis"/>
          <w:rFonts w:ascii="Times New Roman" w:hAnsi="Times New Roman"/>
          <w:caps w:val="false"/>
          <w:smallCaps w:val="false"/>
          <w:sz w:val="20"/>
        </w:rPr>
        <w:t xml:space="preserve">November 2021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November 2023, </w:t>
      </w:r>
      <w:r>
        <w:rPr>
          <w:rFonts w:ascii="Times New Roman" w:hAnsi="Times New Roman"/>
          <w:caps w:val="false"/>
          <w:smallCaps w:val="false"/>
          <w:sz w:val="20"/>
        </w:rPr>
        <w:t xml:space="preserve">five additional shareholder derivative actions were filed alleging substantially similar claims, three in the Texas District Court, one in Texas state court (Travis County District Court) (the “Texas State Court Derivative Action”) and one in the Delaware Court of Chancery (the “Delaware Derivative Action”). As of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the four actions in the Texas District Court were consolidated into a single action (the “Texas Federal Court Derivative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Beginning on </w:t>
      </w:r>
      <w:r>
        <w:rPr>
          <w:rStyle w:val="Emphasis"/>
          <w:rFonts w:ascii="Times New Roman" w:hAnsi="Times New Roman"/>
          <w:caps w:val="false"/>
          <w:smallCaps w:val="false"/>
          <w:sz w:val="20"/>
        </w:rPr>
        <w:t xml:space="preserve">March 18, 2024, </w:t>
      </w:r>
      <w:r>
        <w:rPr>
          <w:rFonts w:ascii="Times New Roman" w:hAnsi="Times New Roman"/>
          <w:caps w:val="false"/>
          <w:smallCaps w:val="false"/>
          <w:sz w:val="20"/>
        </w:rPr>
        <w:t xml:space="preserve">two shareholder derivative actions related to the </w:t>
      </w:r>
      <w:r>
        <w:rPr>
          <w:rStyle w:val="Emphasis"/>
          <w:rFonts w:ascii="Times New Roman" w:hAnsi="Times New Roman"/>
          <w:caps w:val="false"/>
          <w:smallCaps w:val="false"/>
          <w:sz w:val="20"/>
        </w:rPr>
        <w:t xml:space="preserve">February 2024 </w:t>
      </w:r>
      <w:r>
        <w:rPr>
          <w:rFonts w:ascii="Times New Roman" w:hAnsi="Times New Roman"/>
          <w:caps w:val="false"/>
          <w:smallCaps w:val="false"/>
          <w:sz w:val="20"/>
        </w:rPr>
        <w:t xml:space="preserve">class action lawsuit originally filed in the Illinois District Court were filed, purportedly on behalf of the Company, in the Illinois District Court, asserting claims under the U.S. securities laws and state fiduciary duty laws against certain named officers and the members of the Company’s Board. The complaints rely on the CUNY Article. The complaints allege, among other things, that the individual defendants exposed the Company to unspecified damages and securities law liability by causing it to make materially false and misleading statements, in violation of the U.S. securities laws and in breach of their fiduciary duties to the Company. The derivative cases seek, among other things, to recover unspecified compensatory damages on behalf of the Company arising out of the individual defendant’s alleged wrongful conduct. Although the plaintiffs in these derivative cases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seek relief against the Company, the Company has certain indemnification obligations to the individual defendants. On </w:t>
      </w:r>
      <w:r>
        <w:rPr>
          <w:rStyle w:val="Emphasis"/>
          <w:rFonts w:ascii="Times New Roman" w:hAnsi="Times New Roman"/>
          <w:caps w:val="false"/>
          <w:smallCaps w:val="false"/>
          <w:sz w:val="20"/>
        </w:rPr>
        <w:t xml:space="preserve">September 6, 2024, </w:t>
      </w:r>
      <w:r>
        <w:rPr>
          <w:rFonts w:ascii="Times New Roman" w:hAnsi="Times New Roman"/>
          <w:caps w:val="false"/>
          <w:smallCaps w:val="false"/>
          <w:sz w:val="20"/>
        </w:rPr>
        <w:t xml:space="preserve">these two cases (the “Illinois Federal Court Derivative Actions”) were consolidated and stayed pending further developments in the shareholder class action initially filed in the Illinois District Court in </w:t>
      </w:r>
      <w:r>
        <w:rPr>
          <w:rStyle w:val="Emphasis"/>
          <w:rFonts w:ascii="Times New Roman" w:hAnsi="Times New Roman"/>
          <w:caps w:val="false"/>
          <w:smallCaps w:val="false"/>
          <w:sz w:val="20"/>
        </w:rPr>
        <w:t>February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July 21, 2026, </w:t>
      </w:r>
      <w:r>
        <w:rPr>
          <w:rFonts w:ascii="Times New Roman" w:hAnsi="Times New Roman"/>
          <w:caps w:val="false"/>
          <w:smallCaps w:val="false"/>
          <w:sz w:val="20"/>
        </w:rPr>
        <w:t xml:space="preserve">the Company and all individual defendants entered into a settlement term sheet (the “Derivative Term Sheet”) agreeing to resolve the Texas State Court Derivative Action, the Texas Federal Court Derivative Action, the Delaware Derivative Action, and the Illinois Federal Court Derivative Action (collectively, the “Derivative Actions”). Under the Derivative Term Sheet, the parties agreed to work in good faith to negotiate and execute a final settlement stipulation and related settlement documents within </w:t>
      </w:r>
      <w:r>
        <w:rPr>
          <w:rStyle w:val="Emphasis"/>
          <w:rFonts w:ascii="Times New Roman" w:hAnsi="Times New Roman"/>
          <w:caps w:val="false"/>
          <w:smallCaps w:val="false"/>
          <w:sz w:val="20"/>
        </w:rPr>
        <w:t>60</w:t>
      </w:r>
      <w:r>
        <w:rPr>
          <w:rFonts w:ascii="Times New Roman" w:hAnsi="Times New Roman"/>
          <w:caps w:val="false"/>
          <w:smallCaps w:val="false"/>
          <w:sz w:val="20"/>
        </w:rPr>
        <w:t xml:space="preserve"> days following execution of the term sheet, subject to approval by the Company’s Board of Directors and the court. The Derivative Term Sheet provides for the implementation and maintenance of specified corporate governance enhancements for a period of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years. The Derivative Term Sheet also provides for customary mutual releases and dismissal with prejudice of the Derivative Actions following final approval. The Derivative Term Sheet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an admission of fault or wrongdoing by the Company or any of the other defendants.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00" w:right="0" w:hanging="0"/>
        <w:jc w:val="left"/>
        <w:rPr/>
      </w:pPr>
      <w:r>
        <w:rPr>
          <w:rStyle w:val="Emphasis"/>
          <w:rFonts w:ascii="Times New Roman" w:hAnsi="Times New Roman"/>
          <w:i/>
          <w:caps w:val="false"/>
          <w:smallCaps w:val="false"/>
          <w:sz w:val="20"/>
        </w:rPr>
        <w:t>2024</w:t>
      </w:r>
      <w:r>
        <w:rPr>
          <w:rFonts w:ascii="Times New Roman" w:hAnsi="Times New Roman"/>
          <w:i/>
          <w:caps w:val="false"/>
          <w:smallCaps w:val="false"/>
          <w:sz w:val="20"/>
        </w:rPr>
        <w:t xml:space="preserve"> Securities Class Action</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13, 2024, </w:t>
      </w:r>
      <w:r>
        <w:rPr>
          <w:rFonts w:ascii="Times New Roman" w:hAnsi="Times New Roman"/>
          <w:caps w:val="false"/>
          <w:smallCaps w:val="false"/>
          <w:sz w:val="20"/>
        </w:rPr>
        <w:t xml:space="preserve">a putative class action lawsuit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was filed in Texas District Court alleging violations of the federal securities law by the Company and certain named officers. The complaint alleged that various statements made by the defendants regarding simufilam were revealed to be materially false and misleading by the release of top-line results for the Company’s RETHINK-ALZ Phase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clinical trial on </w:t>
      </w:r>
      <w:r>
        <w:rPr>
          <w:rStyle w:val="Emphasis"/>
          <w:rFonts w:ascii="Times New Roman" w:hAnsi="Times New Roman"/>
          <w:caps w:val="false"/>
          <w:smallCaps w:val="false"/>
          <w:sz w:val="20"/>
        </w:rPr>
        <w:t xml:space="preserve">November 25, 2024. </w:t>
      </w:r>
      <w:r>
        <w:rPr>
          <w:rFonts w:ascii="Times New Roman" w:hAnsi="Times New Roman"/>
          <w:caps w:val="false"/>
          <w:smallCaps w:val="false"/>
          <w:sz w:val="20"/>
        </w:rPr>
        <w:t xml:space="preserve">The complaint sought unspecified compensatory damages and other relief on behalf of a purported class of purchasers of the Company’s securities between </w:t>
      </w:r>
      <w:r>
        <w:rPr>
          <w:rStyle w:val="Emphasis"/>
          <w:rFonts w:ascii="Times New Roman" w:hAnsi="Times New Roman"/>
          <w:caps w:val="false"/>
          <w:smallCaps w:val="false"/>
          <w:sz w:val="20"/>
        </w:rPr>
        <w:t xml:space="preserve">February 7,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November 24,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the Court appointed a lead plaintiff and lead counsel for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Lead plaintiff filed an amended complaint in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on behalf of a putative class of purchasers of the Company’s securities between </w:t>
      </w:r>
      <w:r>
        <w:rPr>
          <w:rStyle w:val="Emphasis"/>
          <w:rFonts w:ascii="Times New Roman" w:hAnsi="Times New Roman"/>
          <w:caps w:val="false"/>
          <w:smallCaps w:val="false"/>
          <w:sz w:val="20"/>
        </w:rPr>
        <w:t xml:space="preserve">October 13,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March 25, 2025. </w:t>
      </w:r>
      <w:r>
        <w:rPr>
          <w:rFonts w:ascii="Times New Roman" w:hAnsi="Times New Roman"/>
          <w:caps w:val="false"/>
          <w:smallCaps w:val="false"/>
          <w:sz w:val="20"/>
        </w:rPr>
        <w:t xml:space="preserve">The amended complaint added new officer defendants and additional allegations that various statements made by the defendants regarding simufilam were revealed to be materially false and misleading by disclosures between </w:t>
      </w:r>
      <w:r>
        <w:rPr>
          <w:rStyle w:val="Emphasis"/>
          <w:rFonts w:ascii="Times New Roman" w:hAnsi="Times New Roman"/>
          <w:caps w:val="false"/>
          <w:smallCaps w:val="false"/>
          <w:sz w:val="20"/>
        </w:rPr>
        <w:t xml:space="preserve">June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September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19, 2025, </w:t>
      </w:r>
      <w:r>
        <w:rPr>
          <w:rFonts w:ascii="Times New Roman" w:hAnsi="Times New Roman"/>
          <w:caps w:val="false"/>
          <w:smallCaps w:val="false"/>
          <w:sz w:val="20"/>
        </w:rPr>
        <w:t xml:space="preserve">defendants filed a motion to consolidate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into the Consolidated Securities Action based upon the allegations made in the amended complaint. On </w:t>
      </w:r>
      <w:r>
        <w:rPr>
          <w:rStyle w:val="Emphasis"/>
          <w:rFonts w:ascii="Times New Roman" w:hAnsi="Times New Roman"/>
          <w:caps w:val="false"/>
          <w:smallCaps w:val="false"/>
          <w:sz w:val="20"/>
        </w:rPr>
        <w:t xml:space="preserve">June 29, 2026, </w:t>
      </w:r>
      <w:r>
        <w:rPr>
          <w:rFonts w:ascii="Times New Roman" w:hAnsi="Times New Roman"/>
          <w:caps w:val="false"/>
          <w:smallCaps w:val="false"/>
          <w:sz w:val="20"/>
        </w:rPr>
        <w:t xml:space="preserve">the magistrate judge assigned to the matter denied the motion to consolidate. On </w:t>
      </w:r>
      <w:r>
        <w:rPr>
          <w:rStyle w:val="Emphasis"/>
          <w:rFonts w:ascii="Times New Roman" w:hAnsi="Times New Roman"/>
          <w:caps w:val="false"/>
          <w:smallCaps w:val="false"/>
          <w:sz w:val="20"/>
        </w:rPr>
        <w:t xml:space="preserve">July 13, 2026, </w:t>
      </w:r>
      <w:r>
        <w:rPr>
          <w:rFonts w:ascii="Times New Roman" w:hAnsi="Times New Roman"/>
          <w:caps w:val="false"/>
          <w:smallCaps w:val="false"/>
          <w:sz w:val="20"/>
        </w:rPr>
        <w:t>defendants filed an objection to the order with the Texas District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6, 2025, </w:t>
      </w:r>
      <w:r>
        <w:rPr>
          <w:rFonts w:ascii="Times New Roman" w:hAnsi="Times New Roman"/>
          <w:caps w:val="false"/>
          <w:smallCaps w:val="false"/>
          <w:sz w:val="20"/>
        </w:rPr>
        <w:t xml:space="preserve">Defendants moved to dismiss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On </w:t>
      </w:r>
      <w:r>
        <w:rPr>
          <w:rStyle w:val="Emphasis"/>
          <w:rFonts w:ascii="Times New Roman" w:hAnsi="Times New Roman"/>
          <w:caps w:val="false"/>
          <w:smallCaps w:val="false"/>
          <w:sz w:val="20"/>
        </w:rPr>
        <w:t xml:space="preserve">July 24, 2026, </w:t>
      </w:r>
      <w:r>
        <w:rPr>
          <w:rFonts w:ascii="Times New Roman" w:hAnsi="Times New Roman"/>
          <w:caps w:val="false"/>
          <w:smallCaps w:val="false"/>
          <w:sz w:val="20"/>
        </w:rPr>
        <w:t>the Texas District Court denied the pending motions to dismiss without prejudice, with leave to refile. The Texas District Court further directed the parties to propose a schedule for the briefing and disposition of the pending matters that accounts for the resolution of the pending Fifth Circuit appeal, the interrelated matters before the court, and any refiled motions to dismiss.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Due to the stage and procedural posture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the Company is unable to predict the likelihood of an unfavorable outcome in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Securities Class Action. It is reasonably possible, however, that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incur a loss. The Company is unable to reasonably estimate the amount or range of potential loss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Subject to the Stipulation in the Consolidated Securities Action and the Derivative Term Sheet, the Company intends to defend all pending shareholder derivative actions and securities class actions vigorously.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Anti-SLAPP Lawsuit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6, 2024, </w:t>
      </w:r>
      <w:r>
        <w:rPr>
          <w:rFonts w:ascii="Times New Roman" w:hAnsi="Times New Roman"/>
          <w:caps w:val="false"/>
          <w:smallCaps w:val="false"/>
          <w:sz w:val="20"/>
        </w:rPr>
        <w:t xml:space="preserve">a lawsuit was filed in the District Court for the Southern District of New York which, as amended and as joined by intervenor plaintiffs, asserts claims, including a claim under the New York Anti-SLAPP Law, against the Company and against two former officers to whom the Company has certain indemnification obligations. The amended complaint and the complaint in intervention seek costs and damages relating to a defamation action filed by the Company against the plaintiffs and subsequently dismissed voluntarily by the Company. The Company and its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former officers named as defendants have entered comprehensive settlement agreements with the intervenor plaintiffs and another potential plaintiff under which the parties provided mutual releases and the Company paid approximately $2.5 million in </w:t>
      </w:r>
      <w:r>
        <w:rPr>
          <w:rStyle w:val="Emphasis"/>
          <w:rFonts w:ascii="Times New Roman" w:hAnsi="Times New Roman"/>
          <w:caps w:val="false"/>
          <w:smallCaps w:val="false"/>
          <w:sz w:val="20"/>
        </w:rPr>
        <w:t xml:space="preserve">October 2025. </w:t>
      </w:r>
      <w:r>
        <w:rPr>
          <w:rFonts w:ascii="Times New Roman" w:hAnsi="Times New Roman"/>
          <w:caps w:val="false"/>
          <w:smallCaps w:val="false"/>
          <w:sz w:val="20"/>
        </w:rPr>
        <w:t>The Company intends to defend vigorously the claims brought by the remaining plaintiffs.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Litigation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In connection with ongoing litigation, the Company has reserved an amount of $32.75 million, including the $31.25 million loss contingency for the Consolidated Securities Action, for potential settlements at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which was recorded in accounts payable and other accrued expenses. Subsequent to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paid the accrued securities litigation loss contingency liability of $31.25 million into a plaintiff's escrow account pursuant to the terms of the Stipulation discussed above. There was no loss contingency expense recorded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The Company recorded loss contingencies totaling $32.25 million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Company recorded loss contingencies totaling $35.25 million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2025. </w:t>
      </w:r>
      <w:r>
        <w:rPr>
          <w:rFonts w:ascii="Times New Roman" w:hAnsi="Times New Roman"/>
          <w:caps w:val="false"/>
          <w:smallCaps w:val="false"/>
          <w:sz w:val="20"/>
        </w:rPr>
        <w:t xml:space="preserve">The Company believes that the likelihood of an unfavorable outcome is reasonably possible and has accrued this amount as the best estimate of potential loss. The final outcome of the litigation in which the Company is involved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the reserved amount, and additional losses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incurred.</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8" w:name="mda"/>
      <w:bookmarkEnd w:id="8"/>
      <w:r>
        <w:rPr>
          <w:rFonts w:ascii="Times New Roman" w:hAnsi="Times New Roman"/>
          <w:b/>
          <w:caps w:val="false"/>
          <w:smallCaps w:val="false"/>
          <w:sz w:val="20"/>
        </w:rPr>
        <w:t xml:space="preserve">Item 2. </w:t>
      </w:r>
      <w:r>
        <w:rPr>
          <w:rFonts w:ascii="Times New Roman" w:hAnsi="Times New Roman"/>
          <w:b/>
          <w:i/>
          <w:caps w:val="false"/>
          <w:smallCaps w:val="false"/>
          <w:sz w:val="20"/>
        </w:rPr>
        <w:t>Management</w:t>
      </w:r>
      <w:r>
        <w:rPr>
          <w:rFonts w:ascii="Times New Roman" w:hAnsi="Times New Roman"/>
          <w:caps w:val="false"/>
          <w:smallCaps w:val="false"/>
          <w:sz w:val="20"/>
        </w:rPr>
        <w:t>’</w:t>
      </w:r>
      <w:r>
        <w:rPr>
          <w:rFonts w:ascii="Times New Roman" w:hAnsi="Times New Roman"/>
          <w:b/>
          <w:i/>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discussion and analysis should be read in conjunction with Filana Therapeutics, Inc.’s (the “Company,” “we,” “us,” or “our”) condensed consolidated financial statements and accompanying notes included elsewhere in this Quarterly Report on Form 10-Q. Operating results are not necessarily indicative of results that may occur in future periods.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caps w:val="false"/>
          <w:smallCaps w:val="false"/>
          <w:sz w:val="20"/>
        </w:rPr>
      </w:pPr>
      <w:r>
        <w:rPr>
          <w:rFonts w:ascii="Times New Roman" w:hAnsi="Times New Roman"/>
          <w:b/>
          <w:caps w:val="false"/>
          <w:smallCaps w:val="false"/>
          <w:sz w:val="20"/>
        </w:rPr>
        <w:t>Forward-looking Statements and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Quarterly Report on Form 10-Q contains certain statements that are considered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terms such as “anticipate,” “believe,” “could,” “estimate,” “expect,” “intend,” “may,” “plan,” “potential,” “should,” “will” and “would” or the negatives of these terms or other comparable terminology.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forward-looking statements are based on our beliefs, assumptions and expectations of our future performance, taking into account all information currently available to us. Forward-looking statements involve risks and uncertainties and our actual results and the timing of events may differ significantly from the results discussed in the forward-looking statements. Examples of such forward-looking statements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timing and conduct of our planned and future potential clinical trials and studies for Simufilam in Tuberous Sclerosis Complex (TSC) and additional indications, including the timing of initiation, enrollment and completion of the trials and the period during which the results of the trials will become available;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safety profile or treatment benefits, if any, of simufilam;</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conduct planned preclinical studies of simufilam relating to epilepsy in TSC;</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initiate, conduct or analyze additional clinical and non-clinical studies with our product candidates targeted at central nervous system disorders, including TSC-related epilepsy;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ability to successfully carry out our obligations under our license agreement with Yale, for which we have assumed all responsibility for global development and commercialization for simufilam for the treatment of TSC-related epilepsy;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plans or ability to expand therapeutic indications for simufilam outside of TSC-related epilepsy;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reliance on third-party contractors to conduct all of our clinical and non-clinical trials and to make drug supply, or their ability to do so on-time or on-budget;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interpretation of data from our pre-clinical or early clinical studies, such as Phase 1 and Phase 2 studies, and any studies that are not randomized controlled trials;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impact of pre-clinical findings on our ability to develop our product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use of exploratory ‘research use only’ non-safety related biomarkers in our clinical studies;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file for and obtain regulatory approval of our product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strategy and ability to establish an infrastructure to commercialize any product candidates, if approved;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future revenues of our product candidates, if approved and commercialized;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market acceptance of our product candidates, if approved and commercialized;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pricing and reimbursement of our product candidates, if approved and commercialized;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utility of protection, or the sufficiency, of our intellectual property;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potential competitors or competitive products for therapeutic areas we may elect to pursue;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need to raise new capital from time to time to finance our operations and the impact of macroeconomic conditions on our ability to effectively raise capital;</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expectations regarding trade secrets, technological innovations, licensing agreements and outsourcing of certain business functions;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expenses or incurred costs increasing by material amounts in excess of budgeted amounts due to unexpected cost overruns, imperfect forecasting, increased scope of activities or other causes;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fluctuations in our financial or operating results;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operating losses, anticipated operating and capital expenditures and legal expenses;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expectations regarding the issuance of shares of common stock, options or other equity to employees or directors pursuant to equity compensation awards, net of employment taxes;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development and maintenance of our internal information systems and infrastructure;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75" w:type="dxa"/>
            <w:tcBorders/>
            <w:vAlign w:val="center"/>
          </w:tcPr>
          <w:p>
            <w:pPr>
              <w:pStyle w:val="TableContents"/>
              <w:bidi w:val="0"/>
              <w:spacing w:before="0" w:after="283"/>
              <w:jc w:val="left"/>
              <w:rPr/>
            </w:pPr>
            <w:r>
              <w:rPr/>
              <w:t>our ability to minimize the likelihood and impact of adverse cybersecurity incidents in our information systems and infrastructure;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attract and retain personnel;</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existing or emerging regulations and regulatory developments in the United States and other jurisdictions in which we operate;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expectations regarding the appropriate size and scope of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sufficiency of our cash resources to continue to fund our operations;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potential future agreements with third parties in connection with the commercialization of our product candidates;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accuracy of our estimates regarding expenses, loss contingency reserves, capital requirements, and needs for additional financing;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assumptions and estimates used for our disclosures regarding stock-based compensation;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expense, timing and outcome of pending or future litigation or other legal proceedings and claims (including U.S. government inquiries) including the potential for negotiated settlements of such matters;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litigation, claims or other uncertainties that may arise from allegations made against us or our former employees or collaborators and the potential resolution of same.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Please also refer to the section entitled “Risk Factors” in our Annual Report on Form 10-K for the fiscal year ended December 31, 2025 and this Quarterly Report on Form 10-Q, as such risk factors may be further amended, updated or modified periodically in our reports filed with the U.S. Securities and Exchange Commission (the “SEC”) for further information on these and other risks affecting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caution you not to place undue reliance on forward-looking statements because our future results may differ materially from those expressed or implied by them. We do not undertake to update any forward-looking statement, whether written or oral, relating to the matters discussed in this Quarterly Report on Form 10-Q,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Quarterly Report on Form 10-Q may also contain statistical data and drug information received from our independent consultants or based on industry publications or other publicly available information. We have not independently verified the accuracy or completeness of the data contained in these sources of data and information. Accordingly, we make no representations as to the accuracy or completeness of such data and information. You are cautioned not to give undue weight to such data and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research programs in neurodegeneration have historically benefited from scientific and financial support from the National Institutes of Health (“NIH”). The contents of this Quarterly Report on Form 10-Q are solely our responsibility and do not necessarily represent any official views of NIH, the Department of Health and Human Services, or any other agency of the United States government, or any of our vendors, collaborators or unrelated third-parties</w:t>
      </w:r>
      <w:r>
        <w:rPr>
          <w:rFonts w:ascii="Times New Roman" w:hAnsi="Times New Roman"/>
          <w:i/>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our pharmaceutical assets under development are investigational product candidates. These have not been approved for use in any medical indication by any regulatory authority in any jurisdiction and their safety, efficacy or other desirable attributes, if any, have not been established in any patient population. Consequently, none of our product candidates are approved or available for sale anywhere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clinical results from earlier-stage clinical trials may not be indicative of future results from later-stage or larger scale clinical trials and do not ensure regulatory approval. You are cautioned that subsequent results may differ materially.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Filana Therapeutics, Inc. is a clinical-stage biotechnology company based in Austin, Texas. Our mission is to develop transformative medicines to improve the lives of patients with central nervous system (CNS) disorders, such as Tuberous Sclerosis Complex (TSC)-related epilepsy and other diseases associated with dysregulation or overexpression of filamin A. Our science is based on modulating the activity of a critical protein in the brain for patients with certain CNS disorders, such as TSC. Our lead therapeutic drug candidate, simufilam, was under clinical evaluation for the proposed treatment of Alzheimer’s disease in two Phase 3 clinical studies through 2024, when all ongoing clinical trials for simufilam in Alzheimer’s disease were discontinued. The phase out of the Company’s Alzheimer's disease development program was completed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lead therapeutic product candidate, simufilam, is a proprietary small molecule oral treatment drug being studied for the treatment of TSC-related epilepsy. Simufilam was discovered and designed in-house and was characterized by our academic collaborators during research activities that were conducted from approximately 2008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Simufilam is intended to modulate the activity of a protein called filamin A, which regulates diverse aspects of neuronal cell development. Our and our collaborators’ published studies have demonstrated that the combination of mTOR activation and filamin A overexpression causes cell overgrowth, abnormal connectivity, and brain malformations, leading to seizures in patients with TSC. While such seizures have historically been treated with mTOR inhibitors and other drugs, filamin A represents a novel target for the potential treatment of TSC-related epilepsy, independent of mTOR. Simufilam is a potential first-in-class filamin A-modulating agent with the potential to treat TSC-related epilepsy. We continue to explore other potential indications for simufilam, both CNS related and otherwise, where our pre-clinical experiments suggest that simufilam may provide a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140" w:right="0" w:hanging="0"/>
        <w:jc w:val="left"/>
        <w:rPr>
          <w:rFonts w:ascii="Times New Roman" w:hAnsi="Times New Roman"/>
          <w:b/>
          <w:caps w:val="false"/>
          <w:smallCaps w:val="false"/>
          <w:sz w:val="20"/>
        </w:rPr>
      </w:pPr>
      <w:r>
        <w:rPr>
          <w:rFonts w:ascii="Times New Roman" w:hAnsi="Times New Roman"/>
          <w:b/>
          <w:caps w:val="false"/>
          <w:smallCaps w:val="false"/>
          <w:sz w:val="20"/>
        </w:rPr>
        <w:t>We Own or Control Worldwide Rights to Our Drug Development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success depends in part on our ability to obtain, maintain, and enforce intellectual property protection for our product candidates, including simufilam, and related technologies. We seek to protect our proprietary position through a combination of patents, patent applications, trade secrets, know</w:t>
        <w:noBreakHyphen/>
        <w:t>how, and other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own or exclusively control a portfolio of issued patents and pending patent applications directed to simufilam and related diagnostic assets. These intellectual property rights include patents covering composition of matter for simufilam in the United States, Europe, Australia, Israel, and Canada, as well as patents covering certain methods of use of simufilam in the United States, Europe, and Japan. We also own pending patent applications covering diagnostic assets related to simufilam in the United States, Europe, Japan, China, Canada, and Australia, as well as additional pending patent applications covering other diagnostic assets in the United States, Europe, Japan, China, and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United States, our patent protection relating to simufilam, including its solid forms and methods of use for Alzheimer’s disease and other neurodegenerative diseases, consists of nine issued U.S. patents, with expiration dates ranging from 2029 to 2040, subject to potential patent term extensions and adjustments. We have filed corresponding foreign patent applications for each of these U.S. patent families where we believe such protection is commercially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to our owned intellectual property, on February 26, 2025, we entered into a License Agreement (the “License Agreement”) with Yale University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w:t>
        <w:noBreakHyphen/>
        <w:t>related epilepsy and other potential indications. Under this exclusive, worldwide license, we have the right to sublicense the licensed intellectual property. The license is subject to customary diligence obligations and includes milestone payments, royalties on net sales of licensed products, and other contingent payments, including payments tied to the transfer of any regulatory priority review voucher, if issued. As a result, commercial sales of simufilam or related products, if any, may be subject to royalty obligations to Yale.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Except for intellectual property licensed from third parties, including pursuant to the License Agreement with Yale, we do not owe royalties or other payments to third parties with respect to our owned patents and patent applications covering simufilam. For more information, please also refer to the section entitled “License Agreement with Yale</w:t>
      </w:r>
      <w:r>
        <w:rPr>
          <w:rFonts w:ascii="Times New Roman" w:hAnsi="Times New Roman"/>
          <w:i/>
          <w:caps w:val="false"/>
          <w:smallCaps w:val="false"/>
          <w:sz w:val="20"/>
        </w:rPr>
        <w: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Tuberous Sclerosis Complex (TSC)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TSC is a genetic disorder that results from a mutation in the TSC1 or TSC2 genes. According to the Tuberous Sclerosis Alliance (TSCA), TSC is estimated to affect around 1 in 6,000 live births with approximately 50,000 people affected in the United States and more than one million worldwide. Clinical symptoms of TSC are variable and can impact organ systems with non-malignant tumors developing in brain, eyes, heart, kidney, skin and lungs. Interrelated neuropsychiatric manifestations of TSC such as intellectual disability, autism spectrum disorder, anxiety, aggression, attention deficit hyperactivity disorder, and sleep disturbance can significantly impact quality of life. Epilepsy is common in TSC, occurring in 84% of patients registered in the TSC Alliance Natural History Database with onset often occurring in their first year of life. Approximately 60 percent of TSC patients suffer from treatment-resistant seizures despite use of multiple anti-seizure medications. TSC-related epilepsy is associated with poor outcomes and increases the risk of cognitive deficits.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Preclinical Studies with Simufilam in Tuberous Sclerosis Complex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Preclinical research conducted at Yale indicates that simufilam (then PTI-125) may be effective in reducing TSC-related seizure activity. A study conducted by Angelique Bordey, PhD, at Yale and published in the peer-reviewed journal </w:t>
      </w:r>
      <w:r>
        <w:rPr>
          <w:rFonts w:ascii="Times New Roman" w:hAnsi="Times New Roman"/>
          <w:i/>
          <w:caps w:val="false"/>
          <w:smallCaps w:val="false"/>
          <w:sz w:val="20"/>
        </w:rPr>
        <w:t>Neuron</w:t>
      </w:r>
      <w:r>
        <w:rPr>
          <w:rFonts w:ascii="Times New Roman" w:hAnsi="Times New Roman"/>
          <w:caps w:val="false"/>
          <w:smallCaps w:val="false"/>
          <w:sz w:val="20"/>
        </w:rPr>
        <w:t> in 2014 found overexpression of filamin A and neuronal abnormalities in brain tissue from TSC patients, as well as in brain tissue from mice that had been genetically altered to model TSC. The study further found that genetically normalizing filamin A expression in the mice prevented neuronal abnormalities. The paper, MEK-ERK1/2-Dependent FLNA Overexpression Promotes Abnormal Dendritic Patterning in Tuberous Sclerosis Independent of mTOR (</w:t>
      </w:r>
      <w:r>
        <w:rPr>
          <w:rFonts w:ascii="Times New Roman" w:hAnsi="Times New Roman"/>
          <w:i/>
          <w:caps w:val="false"/>
          <w:smallCaps w:val="false"/>
          <w:sz w:val="20"/>
        </w:rPr>
        <w:t>Neuron</w:t>
      </w:r>
      <w:r>
        <w:rPr>
          <w:rFonts w:ascii="Times New Roman" w:hAnsi="Times New Roman"/>
          <w:caps w:val="false"/>
          <w:smallCaps w:val="false"/>
          <w:sz w:val="20"/>
        </w:rPr>
        <w:t>. 2014 Oct 1. PMID: 25277454), was co-authored by Zhang L, Bartley CM, Gong X, Hsieh LS, Lin TV and Feliciano DM.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later study conducted by Dr. Bordey and published in the peer-reviewed journal </w:t>
      </w:r>
      <w:r>
        <w:rPr>
          <w:rFonts w:ascii="Times New Roman" w:hAnsi="Times New Roman"/>
          <w:i/>
          <w:caps w:val="false"/>
          <w:smallCaps w:val="false"/>
          <w:sz w:val="20"/>
        </w:rPr>
        <w:t>Science Translational Medicine</w:t>
      </w:r>
      <w:r>
        <w:rPr>
          <w:rFonts w:ascii="Times New Roman" w:hAnsi="Times New Roman"/>
          <w:caps w:val="false"/>
          <w:smallCaps w:val="false"/>
          <w:sz w:val="20"/>
        </w:rPr>
        <w:t> in 2020 likewise found elevated filamin A and neuronal abnormalities in brain tissue from patients with focal cortical dysplasia type II (FCDII), a genetic disorder with similar characteristics to TSC, as well as in the brains of mice that had been genetically altered to model TSC and FCDII. That study showed that normalizing filamin A expression in the mice through genetic knockdown both limited the neuronal abnormalities and reduced the frequency of epileptic seizures in the mice. This 2020 paper, Filamin A Inhibition Reduces Seizure Activity in a Mouse Model of Focal Cortical Malformations (</w:t>
      </w:r>
      <w:r>
        <w:rPr>
          <w:rFonts w:ascii="Times New Roman" w:hAnsi="Times New Roman"/>
          <w:i/>
          <w:caps w:val="false"/>
          <w:smallCaps w:val="false"/>
          <w:sz w:val="20"/>
        </w:rPr>
        <w:t>Sci Transl Med</w:t>
      </w:r>
      <w:r>
        <w:rPr>
          <w:rFonts w:ascii="Times New Roman" w:hAnsi="Times New Roman"/>
          <w:caps w:val="false"/>
          <w:smallCaps w:val="false"/>
          <w:sz w:val="20"/>
        </w:rPr>
        <w:t>. 2020 Feb 19. PMID: 32076941), was co-authored by Zhang L, Huang T, Teaw S, Nguyen LH, Hsieh LS, Gong X, and Lindsay Burns, a former employee of the Company.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this 2020 study, Dr. Bordey and her colleagues also studied the effect of treatment with simufilam in the mice that had been altered to model TSC and FCDII. The research showed that treatment with simufilam limited neuronal abnormalities and reduced seizure activity in the mouse model at a level similar to genetic knockdown of filamin A expression.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Dr. Bordey joined the Company as Senior Vice President, Neuroscience, in May 2025, while continuing her tenured academic position at Yale School of Medicine on a part-time basis. In connection with plans to initiate a clinical program in TSC-related epilepsy, the Company appointed Dr. Joseph Hulihan as Chief Medical Officer in August 2025. Dr. Hulihan, who brings over 25 years of industry experience, devotes approximately half of his professional time to the Company and will advise on the clinical development of simufilam.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August 2025, the Company announced positive preclinical results of a study evaluating simufilam in a well-accepted mouse model of TSC-related epilepsy. The study was conducted in collaboration with the TSCA and the TSC Preclinical Consortium using an animal model of TSC-related epilepsy, the </w:t>
      </w:r>
      <w:r>
        <w:rPr>
          <w:rFonts w:ascii="Times New Roman" w:hAnsi="Times New Roman"/>
          <w:i/>
          <w:caps w:val="false"/>
          <w:smallCaps w:val="false"/>
          <w:sz w:val="20"/>
        </w:rPr>
        <w:t>Tsc1</w:t>
      </w:r>
      <w:r>
        <w:rPr>
          <w:rFonts w:ascii="Times New Roman" w:hAnsi="Times New Roman"/>
          <w:caps w:val="false"/>
          <w:smallCaps w:val="false"/>
          <w:sz w:val="20"/>
        </w:rPr>
        <w:t> conditional knockout (CKO) mouse line (</w:t>
      </w:r>
      <w:r>
        <w:rPr>
          <w:rFonts w:ascii="Times New Roman" w:hAnsi="Times New Roman"/>
          <w:i/>
          <w:caps w:val="false"/>
          <w:smallCaps w:val="false"/>
          <w:sz w:val="20"/>
        </w:rPr>
        <w:t>Tsc1</w:t>
      </w:r>
      <w:r>
        <w:rPr>
          <w:rFonts w:ascii="Times New Roman" w:hAnsi="Times New Roman"/>
          <w:caps w:val="false"/>
          <w:smallCaps w:val="false"/>
          <w:sz w:val="20"/>
        </w:rPr>
        <w:t>-CKO). These mice develop spontaneous seizures and are used by the TSC Alliance to evaluate the effectiveness and safety of novel and repurposed therapeutics in the potential treatment of TSC-related epilepsy. The study was conducted by PsychoGenics, Inc., the TSC Preclinical Consortium’s research partner.</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w:t>
      </w:r>
      <w:r>
        <w:rPr>
          <w:rFonts w:ascii="Times New Roman" w:hAnsi="Times New Roman"/>
          <w:i/>
          <w:caps w:val="false"/>
          <w:smallCaps w:val="false"/>
          <w:sz w:val="20"/>
        </w:rPr>
        <w:t>Tsc1</w:t>
      </w:r>
      <w:r>
        <w:rPr>
          <w:rFonts w:ascii="Times New Roman" w:hAnsi="Times New Roman"/>
          <w:caps w:val="false"/>
          <w:smallCaps w:val="false"/>
          <w:sz w:val="20"/>
        </w:rPr>
        <w:t>-CKO mice were treated with several doses of simufilam. Seizure activity was monitored for approximately three weeks after onset, and simufilam was evaluated against treatment with vehicle alone. The data showed that simufilam attenuated the progression of seizure activity, with a statistically significant correlation between simufilam dose and the number of seizures by the end of the study. Not all parameters measured reached statistical significance.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Data and analyses were published in </w:t>
      </w:r>
      <w:r>
        <w:rPr>
          <w:rFonts w:ascii="Times New Roman" w:hAnsi="Times New Roman"/>
          <w:i/>
          <w:caps w:val="false"/>
          <w:smallCaps w:val="false"/>
          <w:sz w:val="20"/>
        </w:rPr>
        <w:t>Epilepsia</w:t>
      </w:r>
      <w:r>
        <w:rPr>
          <w:rFonts w:ascii="Times New Roman" w:hAnsi="Times New Roman"/>
          <w:caps w:val="false"/>
          <w:smallCaps w:val="false"/>
          <w:sz w:val="20"/>
        </w:rPr>
        <w:t> on April 14, 2026. Figure 3C from the article is a heatmap comparing the number of seizures per day recorded for each mouse in the study. Mice were administered vehicle (control) or simufilam at one of three ascending doses.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b/>
          <w:i/>
          <w:caps w:val="false"/>
          <w:smallCaps w:val="false"/>
          <w:sz w:val="20"/>
        </w:rPr>
        <w:t>Epilepsia</w:t>
      </w:r>
      <w:r>
        <w:rPr>
          <w:rFonts w:ascii="Times New Roman" w:hAnsi="Times New Roman"/>
          <w:caps w:val="false"/>
          <w:smallCaps w:val="false"/>
          <w:sz w:val="20"/>
        </w:rPr>
        <w:t xml:space="preserve"> </w:t>
      </w:r>
      <w:r>
        <w:rPr>
          <w:rFonts w:ascii="Times New Roman" w:hAnsi="Times New Roman"/>
          <w:b/>
          <w:caps w:val="false"/>
          <w:smallCaps w:val="false"/>
          <w:sz w:val="20"/>
        </w:rPr>
        <w:t>paper, Figure 3C</w:t>
      </w:r>
    </w:p>
    <w:p>
      <w:pPr>
        <w:pStyle w:val="TextBody"/>
        <w:bidi w:val="0"/>
        <w:jc w:val="center"/>
        <w:rPr/>
      </w:pPr>
      <w:r>
        <w:rPr/>
        <w:drawing>
          <wp:inline distT="0" distB="0" distL="0" distR="0">
            <wp:extent cx="5962650" cy="1190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62650" cy="1190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Heatmap of the daily number of seizures per mouse during electroencephalography</w:t>
      </w:r>
      <w:r>
        <w:rPr>
          <w:rFonts w:ascii="Times New Roman" w:hAnsi="Times New Roman"/>
          <w:caps w:val="false"/>
          <w:smallCaps w:val="false"/>
          <w:sz w:val="20"/>
        </w:rPr>
        <w:t> (</w:t>
      </w:r>
      <w:r>
        <w:rPr>
          <w:rFonts w:ascii="Times New Roman" w:hAnsi="Times New Roman"/>
          <w:i/>
          <w:caps w:val="false"/>
          <w:smallCaps w:val="false"/>
          <w:sz w:val="20"/>
        </w:rPr>
        <w:t>EEG) recordings in each condition. EEG monitoring spanned 20 days, but seizure counts were quantified for the first 5 and last 10 days, and comparative analysis was performed between the first and last 5 days. Gray squares: Mice had died. The 5 day-gap indicates that analysis was not performed for this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caps w:val="false"/>
          <w:smallCaps w:val="false"/>
          <w:sz w:val="20"/>
        </w:rPr>
      </w:pPr>
      <w:r>
        <w:rPr>
          <w:rFonts w:ascii="Times New Roman" w:hAnsi="Times New Roman"/>
          <w:b/>
          <w:caps w:val="false"/>
          <w:smallCaps w:val="false"/>
          <w:sz w:val="20"/>
        </w:rPr>
        <w:t>Status of Investigational New Drug (IND) Application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Based on the results of these studies, the Company filed an Investigational New Drug (IND) application with the U.S. Food and Drug Administration (FDA) in order to initiate a proof-of-concept clinical trial for simufilam in TSC-related epilepsy. On December 15, 2025, the Company received a formal letter from FDA confirming that the proposed clinical trial is on full clinical hold subject to the Company providing FDA with additional information, including additional pre-clinical data, and modifying the protocol design. The Company is working expeditiously to address the items identified in the letter. The timing for initiation of a clinical trial will depend on the Company’s ability to provide the requested information to FDA and on satisfactory completion of FDA’s review.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License Agreement with Yale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February 26, 2025, we entered into the License Agreement with Yale pursuant to which we were granted exclusive worldwide rights, with rights to sublicense, to Yale’s interest in certain patent and other intellectual property rights that could be useful or necessary to the development and commercialization of simufilam for the treatment of TSC-related epilepsy and other potential indications. Pursuant to the License Agreement, we have agreed to use reasonable commercial efforts to implement a plan designed for such development and commercialization.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exchange for the rights acquired pursuant to the License Agreement, we paid Yale (i) a nominal upfront license fee, and agreed to pay (ii) payments upon the achievement of specified clinical, regulatory and commercial milestones, totaling up to $4.5 million and (iii) upon transfer to a third party of a regulatory priority review voucher, if issued, a low- to mid- double digit percentage of any consideration received for such transfer. We also agreed to pay Yale tiered royalties, ranging from a low- to mid- single digit percentage, on aggregate net sales of licensed products, subject to tiered minimum annual royalty payments ranging from the low- to mid- hundreds of thousands of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earlier terminated, the License Agreement will continue on a country-by-country basis until the later of (i) the date on which the last valid claim of the license patents expires or otherwise lapses, (ii) the end of any government or regulatory exclusivity period, and (iii) 10 years following the date of first sale of licensed product in such country. We may terminate the License Agreement: (i) at our option, upon specified advance notice to Yale and (ii) if Yale commits a material breach of the License Agreement that is not cured within a specified timeframe. Yale may terminate the License Agreement under specified circumstances, including if we (i) fail to make any payment due under the License Agreement and fail to cure such non-payment within a specified timeframe, (ii) commit a breach of the License Agreement that is not cured within a specified timeframe, (iii) default on a material obligation to any creditor, unless cured within a specified timeframe, (iv) fail to obtain or maintain insurance required by the License Agreement, (v) bring or assist a patent challenge against Yale (or if a sublicensee does so). In addition, the License Agreement will terminate automatically upon the occurrence of certain bankruptcy and insolvency events involving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License Agreement includes customary confidentiality, reporting and inspection, and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Safety Data From our Now-Discontinued Alzheimer</w:t>
      </w:r>
      <w:r>
        <w:rPr>
          <w:rFonts w:ascii="Times New Roman" w:hAnsi="Times New Roman"/>
          <w:caps w:val="false"/>
          <w:smallCaps w:val="false"/>
          <w:sz w:val="20"/>
        </w:rPr>
        <w:t>’</w:t>
      </w:r>
      <w:r>
        <w:rPr>
          <w:rFonts w:ascii="Times New Roman" w:hAnsi="Times New Roman"/>
          <w:b/>
          <w:caps w:val="false"/>
          <w:smallCaps w:val="false"/>
          <w:sz w:val="20"/>
        </w:rPr>
        <w:t>s Disease</w:t>
      </w:r>
      <w:r>
        <w:rPr>
          <w:rFonts w:ascii="Times New Roman" w:hAnsi="Times New Roman"/>
          <w:caps w:val="false"/>
          <w:smallCaps w:val="false"/>
          <w:sz w:val="20"/>
        </w:rPr>
        <w:t> </w:t>
      </w:r>
      <w:r>
        <w:rPr>
          <w:rFonts w:ascii="Times New Roman" w:hAnsi="Times New Roman"/>
          <w:b/>
          <w:caps w:val="false"/>
          <w:smallCaps w:val="false"/>
          <w:sz w:val="20"/>
        </w:rPr>
        <w:t>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Prior to discontinuing the Alzheimer’s disease program in early 2025, we conducted several Phase 1, Phase 2 and Phase 3 trials of simufilam in the indication. During this clinical trial program, more than 2,000 patients were treated with simufilam, with some patients receiving treatment for as long as 24 months. The safety observations for simufilam from the clinical trials in the discontinued Alzheimer's disease program remain relevant and important to research and clinical trials in pursuit of other indications, including TSC-related epilepsy.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Phase 1 Clinical Safety Study in Healthy Volunteers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FDA accepted our IND submission for simufilam in 2017.  This IND included the requisite preclinical studies concerning safety pharmacology, toxicology, genotoxicity and bioanalytical methods.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thereafter investigated the safety, dosing and pharmacokinetic profile of simufilam in healthy human volunteers. The design of our first-in-human Phase 1 study was based on regulatory feedback, clinical and scientific rationale and observations from previously conducted preclinical and in vitro studies. In this Phase 1 study, simufilam was evaluated in 24 healthy human volunteers (18 simufilam, 6 placebo) in a single site in the U.S. for safety, tolerability and pharmacokinetics. Study subjects were administered a single oral dose of 50, 100 or 200 mg of simufilam or placebo. Drug appeared safe and well-tolerated. Importantly, simufilam showed no treatment-related adverse effects and no dose-limiting safety findings. Pharmacokinetic measurements demonstrated that simufilam, a small molecule, was rapidly absorbed. Dose-proportionality was observed over the full dose range of 50 to 200 mg.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Phase 2 24-Month Clinical Safety Study of Simufilam in Alzheimer</w:t>
      </w:r>
      <w:r>
        <w:rPr>
          <w:rFonts w:ascii="Times New Roman" w:hAnsi="Times New Roman"/>
          <w:caps w:val="false"/>
          <w:smallCaps w:val="false"/>
          <w:sz w:val="20"/>
        </w:rPr>
        <w:t>’</w:t>
      </w:r>
      <w:r>
        <w:rPr>
          <w:rFonts w:ascii="Times New Roman" w:hAnsi="Times New Roman"/>
          <w:i/>
          <w:caps w:val="false"/>
          <w:smallCaps w:val="false"/>
          <w:sz w:val="20"/>
        </w:rPr>
        <w:t xml:space="preserve">s Disease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March 2020, we initiated a Phase 2 clinical safety study of simufilam in patients with Alzheimer’s disease (NCT04388254). This study was funded in part by a research grant award from NIH. This study was designed to evaluate the long-term clinical safety and tolerability of simufilam in patients with Alzheimer’s disease over 24 months. This study enrolled over 200 patients with Alzheimer’s disease who were recruited from 16 U.S. clinical sites.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We conducted the 24-month safety study in three continuous phases:</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12-month, open-label treatment phase, followed by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6-month randomized, placebo-controlled withdrawal phase, followed by</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 additional months of open-label treatment.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360"/>
        <w:jc w:val="both"/>
        <w:rPr>
          <w:rFonts w:ascii="Times New Roman" w:hAnsi="Times New Roman"/>
          <w:caps w:val="false"/>
          <w:smallCaps w:val="false"/>
          <w:sz w:val="20"/>
        </w:rPr>
      </w:pPr>
      <w:r>
        <w:rPr>
          <w:rFonts w:ascii="Times New Roman" w:hAnsi="Times New Roman"/>
          <w:caps w:val="false"/>
          <w:smallCaps w:val="false"/>
          <w:sz w:val="20"/>
        </w:rPr>
        <w:t>Study participants received simufilam oral tablets 100 mg twice-daily in the open-label treatment phases, and simufilam or matching placebo during the randomized withdrawal phase. In an open-label study design, both the health providers and the patients are aware of the drug treatment being given.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360"/>
        <w:jc w:val="both"/>
        <w:rPr>
          <w:rFonts w:ascii="Times New Roman" w:hAnsi="Times New Roman"/>
          <w:caps w:val="false"/>
          <w:smallCaps w:val="false"/>
          <w:sz w:val="20"/>
        </w:rPr>
      </w:pPr>
      <w:r>
        <w:rPr>
          <w:rFonts w:ascii="Times New Roman" w:hAnsi="Times New Roman"/>
          <w:caps w:val="false"/>
          <w:smallCaps w:val="false"/>
          <w:sz w:val="20"/>
        </w:rPr>
        <w:t>All study participants who completed 12 months of open-label simufilam treatment were eligible to participate in the 6-month randomized, placebo-controlled withdrawal phase. Likewise, all study participants who completed the randomized, placebo-controlled withdrawal phase were eligible for 6 additional months of open-label treatment.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0" w:firstLine="360"/>
        <w:jc w:val="both"/>
        <w:rPr>
          <w:rFonts w:ascii="Times New Roman" w:hAnsi="Times New Roman"/>
          <w:caps w:val="false"/>
          <w:smallCaps w:val="false"/>
          <w:sz w:val="20"/>
        </w:rPr>
      </w:pPr>
      <w:r>
        <w:rPr>
          <w:rFonts w:ascii="Times New Roman" w:hAnsi="Times New Roman"/>
          <w:caps w:val="false"/>
          <w:smallCaps w:val="false"/>
          <w:sz w:val="20"/>
        </w:rPr>
        <w:t>During this 24-month study, oral simufilam 100 mg tablets twice daily appeared safe and well tolerated. No drug-related serious adverse events were observed. The most common treatment-emergent adverse events (TEAEs) were Covid-19 and urinary tract infection.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left"/>
        <w:rPr>
          <w:rFonts w:ascii="Times New Roman" w:hAnsi="Times New Roman"/>
          <w:caps w:val="false"/>
          <w:smallCaps w:val="false"/>
          <w:sz w:val="20"/>
        </w:rPr>
      </w:pPr>
      <w:r>
        <w:rPr>
          <w:rFonts w:ascii="Times New Roman" w:hAnsi="Times New Roman"/>
          <w:i/>
          <w:caps w:val="false"/>
          <w:smallCaps w:val="false"/>
          <w:sz w:val="20"/>
        </w:rPr>
        <w:t>Phase 3 Clinical Trials of Simufilam in Alzheimer</w:t>
      </w:r>
      <w:r>
        <w:rPr>
          <w:rFonts w:ascii="Times New Roman" w:hAnsi="Times New Roman"/>
          <w:caps w:val="false"/>
          <w:smallCaps w:val="false"/>
          <w:sz w:val="20"/>
        </w:rPr>
        <w:t>’</w:t>
      </w:r>
      <w:r>
        <w:rPr>
          <w:rFonts w:ascii="Times New Roman" w:hAnsi="Times New Roman"/>
          <w:i/>
          <w:caps w:val="false"/>
          <w:smallCaps w:val="false"/>
          <w:sz w:val="20"/>
        </w:rPr>
        <w:t>s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360"/>
        <w:jc w:val="both"/>
        <w:rPr>
          <w:rFonts w:ascii="Times New Roman" w:hAnsi="Times New Roman"/>
          <w:caps w:val="false"/>
          <w:smallCaps w:val="false"/>
          <w:sz w:val="20"/>
        </w:rPr>
      </w:pPr>
      <w:r>
        <w:rPr>
          <w:rFonts w:ascii="Times New Roman" w:hAnsi="Times New Roman"/>
          <w:caps w:val="false"/>
          <w:smallCaps w:val="false"/>
          <w:sz w:val="20"/>
        </w:rPr>
        <w:t>Between 2021 and 2025 we enrolled approximately 1,900 patients—including 1,153 patients treated with simufilam during the blinded phase—in two randomized placebo-controlled Phase 3 clinical trials of oral simufilam in mild-to-moderate Alzheimer’s disease. The 800 patients enrolled in the first Phase 3 study, called RETHINK-ALZ, received either 100 mg simufilam tablets or placebo twice daily for 52 weeks (NCT04994483). The 1,125 patients enrolled in the second Phase 3 study, called REFOCUS-ALZ, received either 100 mg and 50 mg simufilam tablets or placebo twice daily for 76 weeks (NCT05026177). Patients who completed either of these Phase 3 studies or the 24-month Phase 2 safety study were eligible to enter a 12-month Open Label Extension study in which all patients received simufilam.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360"/>
        <w:jc w:val="both"/>
        <w:rPr>
          <w:rFonts w:ascii="Times New Roman" w:hAnsi="Times New Roman"/>
          <w:caps w:val="false"/>
          <w:smallCaps w:val="false"/>
          <w:sz w:val="20"/>
        </w:rPr>
      </w:pPr>
      <w:r>
        <w:rPr>
          <w:rFonts w:ascii="Times New Roman" w:hAnsi="Times New Roman"/>
          <w:caps w:val="false"/>
          <w:smallCaps w:val="false"/>
          <w:sz w:val="20"/>
        </w:rPr>
        <w:t>On November 25, 2024, we announced that RETHINK-ALZ did not meet each of the pre-specified co-primary, secondary and exploratory biomarker endpoints. We thereafter discontinued the Phase 3 REFOCUS-ALZ study and Open Label Extension study. On March 25, 2025, we announced that REFOCUS-ALZ also did not meet each of the pre-specified co-primary, secondary and exploratory biomarker endpoints. With the failure of both trials to meet their efficacy endpoints, we announced the decision to phase out our Alzheimer’s disease development program. That process was completed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360"/>
        <w:jc w:val="both"/>
        <w:rPr>
          <w:rFonts w:ascii="Times New Roman" w:hAnsi="Times New Roman"/>
          <w:caps w:val="false"/>
          <w:smallCaps w:val="false"/>
          <w:sz w:val="20"/>
        </w:rPr>
      </w:pPr>
      <w:r>
        <w:rPr>
          <w:rFonts w:ascii="Times New Roman" w:hAnsi="Times New Roman"/>
          <w:caps w:val="false"/>
          <w:smallCaps w:val="false"/>
          <w:sz w:val="20"/>
        </w:rPr>
        <w:t>Throughout both of these Phase 3 trials and the subsequent open-label extension study, simufilam demonstrated a favorable safety profile. The drug’s adverse event profile was comparable to placebo, and no drug-related serious adverse events were observed.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hanging="0"/>
        <w:jc w:val="left"/>
        <w:rPr>
          <w:rFonts w:ascii="Times New Roman" w:hAnsi="Times New Roman"/>
          <w:caps w:val="false"/>
          <w:smallCaps w:val="false"/>
          <w:sz w:val="20"/>
        </w:rPr>
      </w:pPr>
      <w:r>
        <w:rPr>
          <w:rFonts w:ascii="Times New Roman" w:hAnsi="Times New Roman"/>
          <w:i/>
          <w:caps w:val="false"/>
          <w:smallCaps w:val="false"/>
          <w:sz w:val="20"/>
        </w:rPr>
        <w:t>Peer Reviewed Article Describing the Results of our Phase 3 Trials of Simufilam in Alzheimer</w:t>
      </w:r>
      <w:r>
        <w:rPr>
          <w:rFonts w:ascii="Times New Roman" w:hAnsi="Times New Roman"/>
          <w:caps w:val="false"/>
          <w:smallCaps w:val="false"/>
          <w:sz w:val="20"/>
        </w:rPr>
        <w:t>’</w:t>
      </w:r>
      <w:r>
        <w:rPr>
          <w:rFonts w:ascii="Times New Roman" w:hAnsi="Times New Roman"/>
          <w:i/>
          <w:caps w:val="false"/>
          <w:smallCaps w:val="false"/>
          <w:sz w:val="20"/>
        </w:rPr>
        <w:t>s Disease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January 13, 2026, we announced the publication of the article </w:t>
      </w:r>
      <w:r>
        <w:rPr>
          <w:rFonts w:ascii="Times New Roman" w:hAnsi="Times New Roman"/>
          <w:i/>
          <w:caps w:val="false"/>
          <w:smallCaps w:val="false"/>
          <w:sz w:val="20"/>
        </w:rPr>
        <w:t>Phase 3 randomized clinical trials of simufilam in mild-to-moderate Alzheimer</w:t>
      </w:r>
      <w:r>
        <w:rPr>
          <w:rFonts w:ascii="Times New Roman" w:hAnsi="Times New Roman"/>
          <w:caps w:val="false"/>
          <w:smallCaps w:val="false"/>
          <w:sz w:val="20"/>
        </w:rPr>
        <w:t>’</w:t>
      </w:r>
      <w:r>
        <w:rPr>
          <w:rFonts w:ascii="Times New Roman" w:hAnsi="Times New Roman"/>
          <w:i/>
          <w:caps w:val="false"/>
          <w:smallCaps w:val="false"/>
          <w:sz w:val="20"/>
        </w:rPr>
        <w:t>s disease</w:t>
      </w:r>
      <w:r>
        <w:rPr>
          <w:rFonts w:ascii="Times New Roman" w:hAnsi="Times New Roman"/>
          <w:caps w:val="false"/>
          <w:smallCaps w:val="false"/>
          <w:sz w:val="20"/>
        </w:rPr>
        <w:t> in the Journal of Prevention of Alzheimer’s Disease (JPAD). The paper provides a detailed analysis of data from the RETHINK-ALZ and REFOCUS-ALZ clinical trials. Although, the two studies did not meet their pre-specified efficacy endpoints, exploratory post-hoc analysis of the studies contained in this article offered informative insights regarding simufilam.</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is Fundamental to the Drug Development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in the business of new drug discovery and development. Our research and development activities are long, complex, costly and involve a high degree of risk. Holders of our common stock should carefully read our 2025 Annual Report on Form 10-K and any subsequent Quarterly and Current Reports filed with the SEC in their entirety, including important disclosures under the caption “Risk Factors.” </w:t>
      </w:r>
      <w:r>
        <w:rPr>
          <w:rFonts w:ascii="Times New Roman" w:hAnsi="Times New Roman"/>
          <w:i/>
          <w:caps w:val="false"/>
          <w:smallCaps w:val="false"/>
          <w:sz w:val="20"/>
        </w:rPr>
        <w:t>Because risk is fundamental to the process of drug discovery and</w:t>
      </w:r>
      <w:r>
        <w:rPr>
          <w:rFonts w:ascii="Times New Roman" w:hAnsi="Times New Roman"/>
          <w:caps w:val="false"/>
          <w:smallCaps w:val="false"/>
          <w:sz w:val="20"/>
        </w:rPr>
        <w:t> </w:t>
      </w:r>
      <w:r>
        <w:rPr>
          <w:rFonts w:ascii="Times New Roman" w:hAnsi="Times New Roman"/>
          <w:i/>
          <w:caps w:val="false"/>
          <w:smallCaps w:val="false"/>
          <w:sz w:val="20"/>
        </w:rPr>
        <w:t>development, you are cautioned to not invest in our publicly traded securities unless you are prepared to sustain a total loss of the money you have invested.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Science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Our Science is Based on Modulating</w:t>
      </w:r>
      <w:r>
        <w:rPr>
          <w:rFonts w:ascii="Times New Roman" w:hAnsi="Times New Roman"/>
          <w:caps w:val="false"/>
          <w:smallCaps w:val="false"/>
          <w:sz w:val="20"/>
        </w:rPr>
        <w:t> </w:t>
      </w:r>
      <w:r>
        <w:rPr>
          <w:rFonts w:ascii="Times New Roman" w:hAnsi="Times New Roman"/>
          <w:i/>
          <w:caps w:val="false"/>
          <w:smallCaps w:val="false"/>
          <w:sz w:val="20"/>
        </w:rPr>
        <w:t>the Activity of Filamin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scientific approach is to treat central nervous system diseases by modulating the activity of the filamin A scaffolding protein. Based on existing research, we believe that filamin A is a promising target for drug development with respect to TSC-related epilepsy.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that we sponsored has identified a family of high-affinity, small molecules to target filamin A as a means of potentially treating central nervous system disorders such as TSC-related epilepsy. This family of small molecules, including simufilam, our lead small molecule (oral) therapeutic product candidate, was designed in-house and characterized by our academic collaborators.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Filamin A is a scaffolding protein found in the brain and elsewhere in the body. Scaffolding proteins bring multiple proteins together, coordinating their interaction. Our product candidate, simufilam, is a potential first-in-class filamin A-modulating agent with the potential to treat TSC-related epilepsy. We continue to explore other potential indications for simufilam, both CNS related and otherwise, where our pre-clinical experiments suggest that simufilam may provide a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Published research shows that patients with TSC have elevated levels of filamin A and that this overexpression of filamin A, in combination with mTOR activation, causes cell overgrowth, abnormal connectivity, and brain malformations, leading to seizures. Preclinical studies in a mouse model showed that genetically normalizing filamin A levels reduced seizure activity and limited neuronal abnormalities independent of mTOR activation.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this same mouse model, treatment with simufilam reduced seizure activity and limited neuronal abnormalities in a manner similar to genetically normalizing filamin A levels. A second study in a well-accepted mouse model of TSC-related epilepsy showed that treatment with simufilam attenuated the progression of seizure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Extension of Our Science to Other Indications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leverage our scientific insights in neurodegeneration and neuroinflammation and advanced tools in molecular biology, biochemistry, and imaging to expand our science to other diseases, including other diseases in which filamin A may be associated with the disease process. New indications and new drug development approaches may complement or supersede our current focus 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we are exploring and incorporating artificial intelligence (AI) capabilities and related data analytics to target improvements in productivity and efficiency in our business, enhancements to research and development activities, and advancements in statistical analysis capabilities.</w:t>
      </w:r>
    </w:p>
    <w:p>
      <w:pPr>
        <w:pStyle w:val="TextBody"/>
        <w:bidi w:val="0"/>
        <w:spacing w:before="0" w:after="0"/>
        <w:ind w:left="8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Simufilam Drug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firstLine="360"/>
        <w:jc w:val="both"/>
        <w:rPr>
          <w:rFonts w:ascii="Times New Roman" w:hAnsi="Times New Roman"/>
          <w:caps w:val="false"/>
          <w:smallCaps w:val="false"/>
          <w:sz w:val="20"/>
        </w:rPr>
      </w:pPr>
      <w:r>
        <w:rPr>
          <w:rFonts w:ascii="Times New Roman" w:hAnsi="Times New Roman"/>
          <w:caps w:val="false"/>
          <w:smallCaps w:val="false"/>
          <w:sz w:val="20"/>
        </w:rPr>
        <w:t>We have a drug supply agreement with Evonik Industries AG for simufilam. Under the agreement, Evonik supplies and is expected to continue to supply us with clinical-grade quantities of simufilam. Evonik is one of the world’s largest contract development and manufacturing organizations for pharmaceutical ingredients. Other vendors supply excipients, the finished dosage form (i.e., simufilam tablets), drug packaging, package labeling and other critical components of the supply chain for drug supply that can be used for clinical studies.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SavaDx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product candidate, called SavaDx, was an early-stage program focused on detecting the presence of Alzheimer’s disease from a small sample of blood. For business, technical and personnel reasons, we discontinued the development of SavaDx as of mid-2025. Development activity related to SavaDx accounted for less than 1% of our research budget in all periods presented prior to the program’s discontinuation.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Financial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yet to generate any revenues from product sales. We have an accumulated deficit of $515.0 million at June 30, 2026. These losses have resulted principally from costs incurred in connection with research and development activities, salaries and other personnel-related costs, legal related costs and general corporate expenses. Research and development activities include costs of clinical and preclinical trials as well as clinical supplies associated with our product candidates. Salaries and other personnel-related costs include stock-based compensation associated with stock options and other equity awards granted to employees and non-employees. Our operating results may fluctuate substantially from period to period as a result of enrollment rates of clinical trials for our product candidates, timing of preclinical activities and our need for clinical supplies.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expect to continue to use significant cash resources in our operations for the next several years. Our cash requirements for operating activities and capital expenditures may increase in the future as we: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engage with, and satisfactorily respond to, requests for additional information from the FDA concerning the clinical hold on our IND application for simufilam in TSC-related epilepsy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preclinical and clinical studies for our product candidates, including simufilam for TSC-related epilepsy;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seek regulatory approvals for our product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 formulate, manufacture and commercialize our product candidates;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acquire or in-license additional products or technologies, or expand the use of our technology;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 defend and expand the scope of our intellectual property;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expend resources related to legal proceedings and claims, including U.S. government inquiries.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Product revenue will depend on our ability to receive regulatory approvals for, and successfully market, our product candidates. If our development efforts result in regulatory approval and successful commercialization of our product candidates, we expect to generate revenue from direct sales of our drugs and/or, if we license our drugs to future collaborators, from the receipt of license fees and royalties from sales of licensed products. We conduct our research and development programs through a combination of internal and collaborative programs. We rely on arrangements with universities, certain collaborators, contract development and manufacturing organizations, clinical research organizations ("CROs") and clinical research sites for a significant portion of our product development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focus substantially all of our research and development efforts in the development of simufilam. Research and development expenses for our investigational diagnostic product candidate, SavaDx, for which development was discontinued in mid-2025, represented less than 1% of total research and development expenses for the periods presented. The following table summarizes expenses by category for research and development efforts (in thousands):</w:t>
      </w:r>
    </w:p>
    <w:p>
      <w:pPr>
        <w:pStyle w:val="TextBody"/>
        <w:bidi w:val="0"/>
        <w:spacing w:before="0" w:after="0"/>
        <w:ind w:left="0" w:right="0" w:hanging="0"/>
        <w:jc w:val="left"/>
        <w:rPr>
          <w:caps w:val="false"/>
          <w:smallCaps w:val="false"/>
        </w:rPr>
      </w:pPr>
      <w:r>
        <w:rPr>
          <w:caps w:val="false"/>
          <w:smallCaps w:val="false"/>
        </w:rPr>
        <w:t> </w:t>
      </w:r>
    </w:p>
    <w:tbl>
      <w:tblPr>
        <w:tblW w:w="8349" w:type="dxa"/>
        <w:jc w:val="left"/>
        <w:tblInd w:w="0" w:type="dxa"/>
        <w:tblLayout w:type="fixed"/>
        <w:tblCellMar>
          <w:top w:w="0" w:type="dxa"/>
          <w:left w:w="0" w:type="dxa"/>
          <w:bottom w:w="0" w:type="dxa"/>
          <w:right w:w="0" w:type="dxa"/>
        </w:tblCellMar>
      </w:tblPr>
      <w:tblGrid>
        <w:gridCol w:w="4895"/>
        <w:gridCol w:w="60"/>
        <w:gridCol w:w="161"/>
        <w:gridCol w:w="626"/>
        <w:gridCol w:w="77"/>
        <w:gridCol w:w="77"/>
        <w:gridCol w:w="161"/>
        <w:gridCol w:w="626"/>
        <w:gridCol w:w="60"/>
        <w:gridCol w:w="60"/>
        <w:gridCol w:w="128"/>
        <w:gridCol w:w="500"/>
        <w:gridCol w:w="61"/>
        <w:gridCol w:w="61"/>
        <w:gridCol w:w="128"/>
        <w:gridCol w:w="608"/>
        <w:gridCol w:w="6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6" w:type="dxa"/>
            <w:gridSpan w:val="6"/>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2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7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9,408</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Pre-clinical projects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1,252</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1,542</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Chemical, Manufacturing and Controls costs (“CMC costs”)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Personnel related</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5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6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2,774</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ind w:left="0" w:right="0" w:hanging="0"/>
              <w:jc w:val="left"/>
              <w:rPr/>
            </w:pPr>
            <w:r>
              <w:rPr/>
              <w:t> </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5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2,681</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6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3,534</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w:t>
            </w:r>
          </w:p>
        </w:tc>
        <w:tc>
          <w:tcPr>
            <w:tcW w:w="6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3,303</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7,847</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ind w:left="0" w:right="0" w:hanging="0"/>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18,782</w:t>
            </w:r>
          </w:p>
        </w:tc>
        <w:tc>
          <w:tcPr>
            <w:tcW w:w="6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6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Clinical trial costs include the costs of our CRO. CMC costs include costs related to our contract development and manufacturing organizations. Research and development expenses include compensation, contractor fees and supplies as well as allocated common costs such as facilities.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Estimating the dates of completion of clinical development, and the costs to complete development, of our product candidates would be highly speculative and subjective. Pharmaceutical products take a significant amount of time to research, develop and commercialize. The clinical study portion of the development of a new drug alone usually spans several years. In the near term, we expect research and development expense for the TSC-related epilepsy program to be significantly lower compared to those for the Alzheimer's disease program. We expect to reassess our future research and development plans based on our review of data we receive from our current research and development activities. The cost and pace of our future research and development activities are linked and subject to change.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discussion and analysis of our financial condition and results of operations is based on our condensed consolidated financial statements, which have been prepared in accordance with U.S. GAAP.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and net loss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There have been no material changes to our critical accounting estimates during the six months ended June 30, 2026 from those described in “Management’s Discussion and Analysis of Financial Condition and Results of Operations” included in our Annual Report on Form 10-K for the year ended December 31, 2025, as filed with the SEC on March 12, 2026.</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Results of Operations </w:t>
      </w:r>
      <w:r>
        <w:rPr>
          <w:rFonts w:ascii="Times New Roman" w:hAnsi="Times New Roman"/>
          <w:caps w:val="false"/>
          <w:smallCaps w:val="false"/>
          <w:sz w:val="20"/>
        </w:rPr>
        <w:t xml:space="preserve">– </w:t>
      </w:r>
      <w:r>
        <w:rPr>
          <w:rFonts w:ascii="Times New Roman" w:hAnsi="Times New Roman"/>
          <w:b/>
          <w:caps w:val="false"/>
          <w:smallCaps w:val="false"/>
          <w:sz w:val="20"/>
        </w:rPr>
        <w:t>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primarily of costs of drug development work associated with our product candidates, including:</w:t>
      </w:r>
    </w:p>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170"/>
        <w:gridCol w:w="5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trials,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pre-clinical testing,</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clinical supplies and related formulation and design costs,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and other personnel-related expenses.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Research and development expenses were $3.3 million and $5.1 million during the three months ended June 30, 2026 and 2025, respectively. This 35% decrease was due primarily to the phase out of the Alzheimer's disease development program, which was completed in the second quarter of 2025.</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were $7.8 million and $18.8 million during the six months ended June 30, 2026 and 2025, respectively. This 58% decrease was due primarily to the phase out of the Alzheimer's disease development program, which was completed in the second quarter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near term, we expect research and development expense for the TSC-related epilepsy program to be significantly lower compared to those for the Alzheimer's disease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personnel costs, allocated expenses and other expenses for outside professional services, including legal, human resources, audit and accounting services. Personnel costs consist of salaries, bonus, benefits and stock-based compensation. Allocated expenses consist primarily of facility costs for our Company owned office complex in Austin, Texas. Depreciation and amortization for office space leased but not occupied by the Company is included in general and administrative expense. Depreciation and amortization for office space occupied by the Company is allocated between general and administrative expense and research and development expense. We also incur expenses associated with operating as a public company, including additional legal fees, expenses related to compliance with the rules and regulations of the SEC and Nasdaq, additional insurance and audit expenses, investor relations activities, public company compliance expenses and other administrative expenses and professional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were $6.1 million and $40.3 million during the three months ended June 30, 2026 and 2025, respectively. The 85% decrease was due primarily to a $31.3 million securities litigation loss contingency recorded in the second quarter of 2025 not being repeated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were $12.7 million and $51.2 million during the six months ended June 30, 2026 and 2025, respectively. The 75% decrease was due primarily to a $31.3 million securities litigation loss contingency and other legal loss contingencies of $3.0 million recorded in the first half of 2025 not being repeated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expect general and administrative expense will decrease in future periods. However, we expect general and administrative expense to remain high compared to historic levels due to professional fees, legal expense and potential settlements related to ongoing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Interest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was $0.7 million and $1.2 million during the three months ended June 30, 2026 and 2025, respectively. The decrease in interest income was due primarily to lower interest rates and cash balances in 2026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Interest income was $1.5 million and $2.5 million during the six months ended June 30, 2026 and 2025, respectively. The decrease in interest income was due primarily to lower interest rates and cash balances in 2026 compared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expect interest income to decrease in future quarters as we continue to utilize cash in our operations.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Other income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record the activities related to leasing office space to third parties in buildings we own as other income (loss), net, as leasing is not core to the Company’s operations. Other income (loss), net, was $43,000 and $(46,000) during the three months ended June 30, 2026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Other income (loss), net, was $91,000 and $(128,000) during the six months ended June 30, 2026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recorded other income in the three and six months ended June 30, 2026 due to improved occupancy rates in 2026 compared to the prior year period. We expect to record modest net income on leasing activities in 2026 due to improved occupancy.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Depreciation and amortization for the office complex is included in general and administrative and research and development expense, and thus not reflected in other income,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Since inception, we have financed our operations primarily through public and private stock offerings, payments received under collaboration agreements and interest earned on our cash and cash equivalents balances. We intend to continue to use our capital resources to fund research and development activities, capital expenditures, working capital requirements and other general corporate purposes. As of June 30, 2026, cash and cash equivalents were $82.7 million. Subsequent to June 30, 2026, we paid our accrued securities litigation loss contingency liability of $31.25 million into a plaintiff's escrow account pursuant to the terms of the Stipulation of Settlement in the Consolidated Securities Action discussed in Note 10 to the "Condensed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At the Market (ATM) Common Stock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November 12, 2025, we entered into an at-the-market offering program (ATM) to sell, from time to time, shares of our common stock having an aggregate offering price of up to $50 million in common stock in transactions pursuant to a shelf registration statement that was declared effective by the U.S. Securities and Exchange Commission (the SEC) on December 5, 2025. We are obligated to pay a commission of up to 3.0% of the gross proceeds from the sale of shares of common stock in the offering. We are not obligated to sell any shares in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There were no common stock sales under the ATM during the six months ended June 30, 2026 or the year ended December 31, 2025.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2020 Cash Incentive Bonus Plan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Information with respect to the 2020 Cash Incentive Bonus Plan is included in Note 9 of “Notes to Condensed Consolidated Financial Statements” included in Part I, Item 1 of this Quarterly Report on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No cash payments were authorized or made to participants under the CIB Plan as of June 30, 2026, or through the filing date of this Quarterly Report on Form 10-Q.</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180"/>
        <w:jc w:val="left"/>
        <w:rPr>
          <w:rFonts w:ascii="Times New Roman" w:hAnsi="Times New Roman"/>
          <w:caps w:val="false"/>
          <w:smallCaps w:val="false"/>
          <w:sz w:val="20"/>
        </w:rPr>
      </w:pPr>
      <w:r>
        <w:rPr>
          <w:rFonts w:ascii="Times New Roman" w:hAnsi="Times New Roman"/>
          <w:caps w:val="false"/>
          <w:smallCaps w:val="false"/>
          <w:sz w:val="20"/>
        </w:rPr>
        <w:t>The following table sets forth a summary of the primary sources and uses of cash for each of the periods presented below (in thousands):</w:t>
      </w:r>
    </w:p>
    <w:p>
      <w:pPr>
        <w:pStyle w:val="TextBody"/>
        <w:bidi w:val="0"/>
        <w:spacing w:before="0" w:after="0"/>
        <w:ind w:left="160" w:right="0" w:hanging="0"/>
        <w:jc w:val="left"/>
        <w:rPr>
          <w:caps w:val="false"/>
          <w:smallCaps w:val="false"/>
        </w:rPr>
      </w:pPr>
      <w:r>
        <w:rPr>
          <w:caps w:val="false"/>
          <w:smallCaps w:val="false"/>
        </w:rPr>
        <w:t> </w:t>
      </w:r>
    </w:p>
    <w:tbl>
      <w:tblPr>
        <w:tblW w:w="6492" w:type="dxa"/>
        <w:jc w:val="left"/>
        <w:tblInd w:w="0" w:type="dxa"/>
        <w:tblLayout w:type="fixed"/>
        <w:tblCellMar>
          <w:top w:w="0" w:type="dxa"/>
          <w:left w:w="0" w:type="dxa"/>
          <w:bottom w:w="0" w:type="dxa"/>
          <w:right w:w="0" w:type="dxa"/>
        </w:tblCellMar>
      </w:tblPr>
      <w:tblGrid>
        <w:gridCol w:w="4115"/>
        <w:gridCol w:w="60"/>
        <w:gridCol w:w="165"/>
        <w:gridCol w:w="861"/>
        <w:gridCol w:w="106"/>
        <w:gridCol w:w="79"/>
        <w:gridCol w:w="165"/>
        <w:gridCol w:w="861"/>
        <w:gridCol w:w="80"/>
      </w:tblGrid>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(12,733</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6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w:t>
            </w:r>
          </w:p>
        </w:tc>
        <w:tc>
          <w:tcPr>
            <w:tcW w:w="10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(12,821</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$12.7 million for the six months ended June 30, 2026, resulting primarily from a net loss of $18.9 million as well as decreases in accounts payable and accrued expenses of $2.4 million and accrued compensation and benefits of $1.2 million. These factors were partially offset by a decrease in prepaid and other current assets of $1.2 million. There was also a non-cash adjustment for stock-based compensation expense of $8.1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$16.3 million for the six months ended June 30, 2025, resulting primarily from a net loss of $67.6 million. This change was partially offset by an increase in accrued development expense of $1.3 million, an increase in accounts payable and accrued expenses of $35.2 million and a decrease in prepaid and other current assets of $5.5 million. There was also a non-cash adjustment for stock-based compensation expense of $9.8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was minimal or no net cash used in investing activities during the six months ended June 30, 2026 and 2025.</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used in financing activities during the six months ended June 30, 2026 was $67,000 for costs related to the ATM. There were no sales of common stock under the ATM during the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during the six months ended June 30, 2025 was $90,000 of proceeds from the exercise of 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Property and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own an office complex in Austin, Texas, a portion of which serves as our corporate headquarters. Maintenance, physical facilities, leasing, property management and other key responsibilities related to property ownership are outsourced to professional real-estate managers. The office complex measures approximately 90,000 rentable square feet. At June 30, 2026, we occupied approximately 25% of the property with the remainder either leased or available for lease to third parties. We expect to record modest net income on leasing activities in 2026 due to improved occupancy compared to the prior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Other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have an accumulated deficit of $515.0 million as of June 30, 2026. We expect our cash requirements to be significant in the future. The amount and timing of our future cash requirements will depend on regulatory and market acceptance of our drug candidates, the resources we devote to researching and developing, formulating, manufacturing, commercializing and supporting our products and other corporate needs. We believe that our current cash and cash equivalents will be sufficient to fund our operations for at least the next 12 months. We may seek additional future funding through public or private financing in the future, if such funding is available and on terms acceptable to us. However, there are no assurances that additional financing will be available on favorable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9" w:name="qqd"/>
      <w:bookmarkEnd w:id="9"/>
      <w:r>
        <w:rPr>
          <w:rFonts w:ascii="Times New Roman" w:hAnsi="Times New Roman"/>
          <w:b/>
          <w:caps w:val="false"/>
          <w:smallCaps w:val="false"/>
          <w:sz w:val="20"/>
        </w:rPr>
        <w:t xml:space="preserve">Item 3. </w:t>
      </w:r>
      <w:r>
        <w:rPr>
          <w:rFonts w:ascii="Times New Roman" w:hAnsi="Times New Roman"/>
          <w:b/>
          <w:i/>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As a smaller reporting company, per Item 305(e) of Regulation S-K, we are not required to provide the information called for by this Item 3. </w:t>
      </w:r>
    </w:p>
    <w:p>
      <w:pPr>
        <w:pStyle w:val="TextBody"/>
        <w:bidi w:val="0"/>
        <w:spacing w:before="0" w:after="0"/>
        <w:ind w:left="1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0" w:name="controls"/>
      <w:bookmarkEnd w:id="10"/>
      <w:r>
        <w:rPr>
          <w:rFonts w:ascii="Times New Roman" w:hAnsi="Times New Roman"/>
          <w:b/>
          <w:caps w:val="false"/>
          <w:smallCaps w:val="false"/>
          <w:sz w:val="20"/>
        </w:rPr>
        <w:t xml:space="preserve">Item 4. </w:t>
      </w:r>
      <w:r>
        <w:rPr>
          <w:rFonts w:ascii="Times New Roman" w:hAnsi="Times New Roman"/>
          <w:b/>
          <w:i/>
          <w:caps w:val="false"/>
          <w:smallCaps w:val="false"/>
          <w:sz w:val="20"/>
        </w:rPr>
        <w:t>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Evaluation of disclosure controls and procedures. </w:t>
      </w:r>
      <w:r>
        <w:rPr>
          <w:rFonts w:ascii="Times New Roman" w:hAnsi="Times New Roman"/>
          <w:caps w:val="false"/>
          <w:smallCaps w:val="false"/>
          <w:sz w:val="20"/>
        </w:rPr>
        <w:t>Our management, with the participation of our Chief Executive Officer and our Chief Financial Officer, evaluated the effectiveness of our disclosure controls and procedures as of the end of the period covered by this Quarterly Report on Form 10-Q. Based on this evaluation, our Chief Executive Officer (as Principal Executive Officer) and our Chief Financial Officer (as Principal Financial Officer) have concluded that our disclosure controls and procedures are effective to ensure that information we are required to disclose in reports that we file or submit under the Securities Exchange Act of 1934, as amended (the “Exchange Act”), is recorded, processed, summarized and reported within the time periods specified in the SEC’s rules and forms and that such information is accumulated and communicated to management as appropriate to allow timely decisions regarding required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2026, our Chief Executive Officer and Chief Financial Officer concluded that, as of such date,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Changes in internal control over financial reporting. </w:t>
      </w:r>
      <w:r>
        <w:rPr>
          <w:rFonts w:ascii="Times New Roman" w:hAnsi="Times New Roman"/>
          <w:caps w:val="false"/>
          <w:smallCaps w:val="false"/>
          <w:sz w:val="20"/>
        </w:rPr>
        <w:t>There has been no change in our internal control over financial reporting (as defined in Rule 13a-15(f) under the Exchange Act) identified during the three months ended June 30, 2026 that has materially affected, or is reasonable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PART II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legal"/>
      <w:bookmarkEnd w:id="11"/>
      <w:r>
        <w:rPr>
          <w:rFonts w:ascii="Times New Roman" w:hAnsi="Times New Roman"/>
          <w:b/>
          <w:caps w:val="false"/>
          <w:smallCaps w:val="false"/>
          <w:sz w:val="20"/>
        </w:rPr>
        <w:t xml:space="preserve">Item 1. </w:t>
      </w:r>
      <w:r>
        <w:rPr>
          <w:rFonts w:ascii="Times New Roman" w:hAnsi="Times New Roman"/>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and from time to time, we may become involved in litigation or other legal proceedings and claims, including U.S. government inquiries, investigations and Citizen Petitions submitted to FDA. In addition, we have received and from time to time may receive inquiries from government authorities relating to matters arising from the ordinary course of business. The outcome of these proceedings is inherently uncertain. Regardless of outcome, legal proceedings can have an adverse impact on us because of defense and settlement costs, diversion of management resources, and other factors. At this time, no assessment can be made as to their likely outcome or whether the outcome will be material to us except as disclosed in this Quarterly Report on Form 10-Q in Note 10 to our condensed consolidated financial statements entitled, “Contingencies.” We believe that our total provisions for legal matters are adequate based upon currently available information. Additional information regarding our legal proceedings is included in the “Contingencies” note.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2" w:name="risk"/>
      <w:bookmarkEnd w:id="12"/>
      <w:r>
        <w:rPr>
          <w:rFonts w:ascii="Times New Roman" w:hAnsi="Times New Roman"/>
          <w:b/>
          <w:caps w:val="false"/>
          <w:smallCaps w:val="false"/>
          <w:sz w:val="20"/>
        </w:rPr>
        <w:t xml:space="preserve">Item 1A. </w:t>
      </w:r>
      <w:r>
        <w:rPr>
          <w:rFonts w:ascii="Times New Roman" w:hAnsi="Times New Roman"/>
          <w:b/>
          <w:i/>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 xml:space="preserve">Please refer to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in Part I, Item 1A of our</w:t>
      </w:r>
      <w:r>
        <w:rPr>
          <w:rFonts w:ascii="Times New Roman" w:hAnsi="Times New Roman"/>
          <w:caps w:val="false"/>
          <w:smallCaps w:val="false"/>
          <w:sz w:val="20"/>
        </w:rPr>
        <w:t> </w:t>
      </w:r>
      <w:r>
        <w:rPr>
          <w:rFonts w:ascii="Times New Roman" w:hAnsi="Times New Roman"/>
          <w:i/>
          <w:caps w:val="false"/>
          <w:smallCaps w:val="false"/>
          <w:sz w:val="20"/>
        </w:rPr>
        <w:t>2025 Annual Report on Form 10</w:t>
      </w:r>
      <w:r>
        <w:rPr>
          <w:rFonts w:ascii="Times New Roman" w:hAnsi="Times New Roman"/>
          <w:caps w:val="false"/>
          <w:smallCaps w:val="false"/>
          <w:sz w:val="20"/>
        </w:rPr>
        <w:noBreakHyphen/>
      </w:r>
      <w:r>
        <w:rPr>
          <w:rFonts w:ascii="Times New Roman" w:hAnsi="Times New Roman"/>
          <w:i/>
          <w:caps w:val="false"/>
          <w:smallCaps w:val="false"/>
          <w:sz w:val="20"/>
        </w:rPr>
        <w:t>K for additional information on our current risks. There have been no material changes in our risk factors from those disclosed in our Annual Report on Form 10-K.</w:t>
      </w:r>
      <w:r>
        <w:rPr>
          <w:rFonts w:ascii="Times New Roman" w:hAnsi="Times New Roman"/>
          <w:caps w:val="false"/>
          <w:smallCaps w:val="false"/>
          <w:sz w:val="20"/>
        </w:rPr>
        <w:t> </w:t>
      </w:r>
      <w:r>
        <w:rPr>
          <w:rFonts w:ascii="Times New Roman" w:hAnsi="Times New Roman"/>
          <w:i/>
          <w:caps w:val="false"/>
          <w:smallCaps w:val="false"/>
          <w:sz w:val="20"/>
        </w:rPr>
        <w:t>The risks and uncertainties described in our</w:t>
      </w:r>
      <w:r>
        <w:rPr>
          <w:rFonts w:ascii="Times New Roman" w:hAnsi="Times New Roman"/>
          <w:caps w:val="false"/>
          <w:smallCaps w:val="false"/>
          <w:sz w:val="20"/>
        </w:rPr>
        <w:t> </w:t>
      </w:r>
      <w:r>
        <w:rPr>
          <w:rFonts w:ascii="Times New Roman" w:hAnsi="Times New Roman"/>
          <w:i/>
          <w:caps w:val="false"/>
          <w:smallCaps w:val="false"/>
          <w:sz w:val="20"/>
        </w:rPr>
        <w:t>2025</w:t>
      </w:r>
      <w:r>
        <w:rPr>
          <w:rFonts w:ascii="Times New Roman" w:hAnsi="Times New Roman"/>
          <w:caps w:val="false"/>
          <w:smallCaps w:val="false"/>
          <w:sz w:val="20"/>
        </w:rPr>
        <w:t> </w:t>
      </w:r>
      <w:r>
        <w:rPr>
          <w:rFonts w:ascii="Times New Roman" w:hAnsi="Times New Roman"/>
          <w:i/>
          <w:caps w:val="false"/>
          <w:smallCaps w:val="false"/>
          <w:sz w:val="20"/>
        </w:rPr>
        <w:t>Annual Report on Form 10</w:t>
      </w:r>
      <w:r>
        <w:rPr>
          <w:rFonts w:ascii="Times New Roman" w:hAnsi="Times New Roman"/>
          <w:caps w:val="false"/>
          <w:smallCaps w:val="false"/>
          <w:sz w:val="20"/>
        </w:rPr>
        <w:noBreakHyphen/>
      </w:r>
      <w:r>
        <w:rPr>
          <w:rFonts w:ascii="Times New Roman" w:hAnsi="Times New Roman"/>
          <w:i/>
          <w:caps w:val="false"/>
          <w:smallCaps w:val="false"/>
          <w:sz w:val="20"/>
        </w:rPr>
        <w:t>K are not the only ones we face.</w:t>
      </w:r>
      <w:r>
        <w:rPr>
          <w:rFonts w:ascii="Times New Roman" w:hAnsi="Times New Roman"/>
          <w:caps w:val="false"/>
          <w:smallCaps w:val="false"/>
          <w:sz w:val="20"/>
        </w:rPr>
        <w:t> </w:t>
      </w:r>
      <w:r>
        <w:rPr>
          <w:rFonts w:ascii="Times New Roman" w:hAnsi="Times New Roman"/>
          <w:i/>
          <w:caps w:val="false"/>
          <w:smallCaps w:val="false"/>
          <w:sz w:val="20"/>
        </w:rPr>
        <w:t>Additional risks and uncertainties not presently known to us or that we currently deem immaterial may also materially adversely affect our business,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3" w:name="unregistered"/>
      <w:bookmarkEnd w:id="13"/>
      <w:r>
        <w:rPr>
          <w:rFonts w:ascii="Times New Roman" w:hAnsi="Times New Roman"/>
          <w:b/>
          <w:caps w:val="false"/>
          <w:smallCaps w:val="false"/>
          <w:sz w:val="20"/>
        </w:rPr>
        <w:t xml:space="preserve">Item 2. </w:t>
      </w:r>
      <w:r>
        <w:rPr>
          <w:rFonts w:ascii="Times New Roman" w:hAnsi="Times New Roman"/>
          <w:b/>
          <w:i/>
          <w:caps w:val="false"/>
          <w:smallCaps w:val="false"/>
          <w:sz w:val="20"/>
        </w:rPr>
        <w:t>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4" w:name="defaults"/>
      <w:bookmarkEnd w:id="14"/>
      <w:r>
        <w:rPr>
          <w:rFonts w:ascii="Times New Roman" w:hAnsi="Times New Roman"/>
          <w:b/>
          <w:caps w:val="false"/>
          <w:smallCaps w:val="false"/>
          <w:sz w:val="20"/>
        </w:rPr>
        <w:t xml:space="preserve">Item 3. </w:t>
      </w:r>
      <w:r>
        <w:rPr>
          <w:rFonts w:ascii="Times New Roman" w:hAnsi="Times New Roman"/>
          <w:b/>
          <w:i/>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bookmarkStart w:id="15" w:name="mine"/>
      <w:bookmarkEnd w:id="15"/>
      <w:r>
        <w:rPr>
          <w:rFonts w:ascii="Times New Roman" w:hAnsi="Times New Roman"/>
          <w:b/>
          <w:caps w:val="false"/>
          <w:smallCaps w:val="false"/>
          <w:sz w:val="20"/>
        </w:rPr>
        <w:t xml:space="preserve">Item 4. </w:t>
      </w:r>
      <w:r>
        <w:rPr>
          <w:rFonts w:ascii="Times New Roman" w:hAnsi="Times New Roman"/>
          <w:b/>
          <w:i/>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283"/>
        <w:jc w:val="left"/>
        <w:rPr/>
      </w:pPr>
      <w:r>
        <w:rPr/>
        <w:t xml:space="preserve">  </w:t>
      </w:r>
    </w:p>
    <w:p>
      <w:pPr>
        <w:pStyle w:val="TextBody"/>
        <w:bidi w:val="0"/>
        <w:spacing w:before="0" w:after="0"/>
        <w:ind w:left="0" w:right="0" w:hanging="0"/>
        <w:jc w:val="both"/>
        <w:rPr/>
      </w:pPr>
      <w:bookmarkStart w:id="16" w:name="other"/>
      <w:bookmarkEnd w:id="16"/>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w:t>
      </w:r>
      <w:r>
        <w:rPr>
          <w:rFonts w:ascii="Times New Roman" w:hAnsi="Times New Roman"/>
          <w:b/>
          <w:i/>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 w:hAnsi="Times New Roman"/>
          <w:caps w:val="false"/>
          <w:smallCaps w:val="false"/>
          <w:sz w:val="20"/>
        </w:rPr>
        <w:t xml:space="preserve">During the quarter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none of our directors or officers (as defined in Rule </w:t>
      </w:r>
      <w:r>
        <w:rPr>
          <w:rStyle w:val="Emphasis"/>
          <w:rFonts w:ascii="Times New Roman" w:hAnsi="Times New Roman"/>
          <w:caps w:val="false"/>
          <w:smallCaps w:val="false"/>
          <w:sz w:val="20"/>
        </w:rPr>
        <w:t>16a</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(f) of the Exchange Act) informed us of the adoption or termination of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as those terms are defined in Regulation S-K, Item </w:t>
      </w:r>
      <w:r>
        <w:rPr>
          <w:rStyle w:val="Emphasis"/>
          <w:rFonts w:ascii="Times New Roman" w:hAnsi="Times New Roman"/>
          <w:caps w:val="false"/>
          <w:smallCaps w:val="false"/>
          <w:sz w:val="20"/>
        </w:rPr>
        <w:t>408.</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sz w:val="20"/>
        </w:rPr>
        <w:t>28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7" w:name="exhibits"/>
      <w:bookmarkEnd w:id="17"/>
      <w:r>
        <w:rPr>
          <w:rFonts w:ascii="Times New Roman" w:hAnsi="Times New Roman"/>
          <w:b/>
          <w:caps w:val="false"/>
          <w:smallCaps w:val="false"/>
          <w:sz w:val="20"/>
        </w:rPr>
        <w:t xml:space="preserve">Item 6. </w:t>
      </w:r>
      <w:r>
        <w:rPr>
          <w:rFonts w:ascii="Times New Roman" w:hAnsi="Times New Roman"/>
          <w:b/>
          <w:i/>
          <w:caps w:val="false"/>
          <w:smallCaps w:val="false"/>
          <w:sz w:val="20"/>
        </w:rPr>
        <w:t xml:space="preserve">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exhibits have been filed with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6"/>
        <w:gridCol w:w="6612"/>
        <w:gridCol w:w="60"/>
        <w:gridCol w:w="500"/>
        <w:gridCol w:w="60"/>
        <w:gridCol w:w="706"/>
        <w:gridCol w:w="60"/>
        <w:gridCol w:w="650"/>
        <w:gridCol w:w="60"/>
        <w:gridCol w:w="801"/>
      </w:tblGrid>
      <w:tr>
        <w:trPr/>
        <w:tc>
          <w:tcPr>
            <w:tcW w:w="696" w:type="dxa"/>
            <w:tcBorders/>
            <w:vAlign w:val="center"/>
          </w:tcPr>
          <w:p>
            <w:pPr>
              <w:pStyle w:val="TableContents"/>
              <w:bidi w:val="0"/>
              <w:spacing w:before="0" w:after="283"/>
              <w:jc w:val="left"/>
              <w:rPr/>
            </w:pPr>
            <w:r>
              <w:rPr/>
              <w:t> </w:t>
            </w:r>
          </w:p>
        </w:tc>
        <w:tc>
          <w:tcPr>
            <w:tcW w:w="66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6" w:type="dxa"/>
            <w:gridSpan w:val="5"/>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696" w:type="dxa"/>
            <w:tcBorders/>
            <w:vAlign w:val="center"/>
          </w:tcPr>
          <w:p>
            <w:pPr>
              <w:pStyle w:val="TableContents"/>
              <w:bidi w:val="0"/>
              <w:spacing w:before="0" w:after="283"/>
              <w:jc w:val="left"/>
              <w:rPr/>
            </w:pPr>
            <w:r>
              <w:rPr/>
              <w:t> </w:t>
            </w:r>
          </w:p>
        </w:tc>
        <w:tc>
          <w:tcPr>
            <w:tcW w:w="66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Reference</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696"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w:t>
            </w:r>
          </w:p>
        </w:tc>
        <w:tc>
          <w:tcPr>
            <w:tcW w:w="6612"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 w:hAnsi="Times New Roman"/>
                <w:b/>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w:t>
            </w:r>
          </w:p>
        </w:tc>
      </w:tr>
      <w:tr>
        <w:trPr/>
        <w:tc>
          <w:tcPr>
            <w:tcW w:w="6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w:t>
            </w:r>
          </w:p>
        </w:tc>
        <w:tc>
          <w:tcPr>
            <w:tcW w:w="6612"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5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w:t>
            </w:r>
          </w:p>
        </w:tc>
        <w:tc>
          <w:tcPr>
            <w:tcW w:w="60" w:type="dxa"/>
            <w:tcBorders/>
            <w:vAlign w:val="center"/>
          </w:tcPr>
          <w:p>
            <w:pPr>
              <w:pStyle w:val="TableContents"/>
              <w:bidi w:val="0"/>
              <w:spacing w:before="0" w:after="283"/>
              <w:jc w:val="left"/>
              <w:rPr/>
            </w:pPr>
            <w:r>
              <w:rPr/>
              <w:t> </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Herewith</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612"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rPr>
                <w:t>Amended and Restated Certificate of Incorporation.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7/29/2005</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612"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Certificate of Amendment of Restated Certificate of Incorporation.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5/8/2017</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6612"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Certificate of Amendment of Restated Certificate of Incorporation.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10-K</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3/29/2019</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696" w:type="dxa"/>
            <w:tcBorders/>
            <w:vAlign w:val="center"/>
          </w:tcPr>
          <w:p>
            <w:pPr>
              <w:pStyle w:val="TableContents"/>
              <w:bidi w:val="0"/>
              <w:spacing w:before="0" w:after="283"/>
              <w:jc w:val="left"/>
              <w:rPr/>
            </w:pPr>
            <w:r>
              <w:rPr/>
              <w:t>3.4</w:t>
            </w:r>
          </w:p>
        </w:tc>
        <w:tc>
          <w:tcPr>
            <w:tcW w:w="6612" w:type="dxa"/>
            <w:tcBorders/>
            <w:vAlign w:val="center"/>
          </w:tcPr>
          <w:p>
            <w:pPr>
              <w:pStyle w:val="TableContents"/>
              <w:bidi w:val="0"/>
              <w:spacing w:before="0" w:after="283"/>
              <w:jc w:val="left"/>
              <w:rPr/>
            </w:pPr>
            <w:hyperlink r:id="rId6">
              <w:r>
                <w:rPr>
                  <w:rStyle w:val="InternetLink"/>
                </w:rPr>
                <w:t>Certificate of Amendment of Restated Certificate of Incorporation.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3/10/2026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3.4</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w:t>
            </w:r>
          </w:p>
        </w:tc>
        <w:tc>
          <w:tcPr>
            <w:tcW w:w="6612"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Amended and Restated Bylaws of Filana Therapeutics, Inc.</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3/10/2026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696" w:type="dxa"/>
            <w:tcBorders/>
            <w:vAlign w:val="center"/>
          </w:tcPr>
          <w:p>
            <w:pPr>
              <w:pStyle w:val="TableContents"/>
              <w:bidi w:val="0"/>
              <w:spacing w:before="0" w:after="283"/>
              <w:jc w:val="left"/>
              <w:rPr/>
            </w:pPr>
            <w:r>
              <w:rPr/>
              <w:t>10.1*</w:t>
            </w:r>
          </w:p>
        </w:tc>
        <w:tc>
          <w:tcPr>
            <w:tcW w:w="6612" w:type="dxa"/>
            <w:tcBorders/>
            <w:vAlign w:val="center"/>
          </w:tcPr>
          <w:p>
            <w:pPr>
              <w:pStyle w:val="TableContents"/>
              <w:bidi w:val="0"/>
              <w:spacing w:before="0" w:after="283"/>
              <w:jc w:val="left"/>
              <w:rPr/>
            </w:pPr>
            <w:hyperlink r:id="rId8">
              <w:r>
                <w:rPr>
                  <w:rStyle w:val="InternetLink"/>
                </w:rPr>
                <w:t>Filana Therapeutics, Inc. 2018 Omnibus Incentive Plan</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8-K</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6/15/2026</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10.1</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left"/>
              <w:rPr/>
            </w:pPr>
            <w:r>
              <w:rPr/>
              <w:t> </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612" w:type="dxa"/>
            <w:tcBorders/>
            <w:vAlign w:val="center"/>
          </w:tcPr>
          <w:p>
            <w:pPr>
              <w:pStyle w:val="TableContents"/>
              <w:bidi w:val="0"/>
              <w:spacing w:before="0" w:after="0"/>
              <w:ind w:left="0" w:right="0" w:hanging="0"/>
              <w:jc w:val="left"/>
              <w:rPr/>
            </w:pPr>
            <w:hyperlink w:anchor="ex_969148.htm">
              <w:r>
                <w:rPr>
                  <w:rStyle w:val="InternetLink"/>
                  <w:rFonts w:ascii="Times New Roman" w:hAnsi="Times New Roman"/>
                  <w:caps w:val="false"/>
                  <w:smallCaps w:val="false"/>
                  <w:sz w:val="20"/>
                </w:rPr>
                <w:t>Certification of Principal Executive Officer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612" w:type="dxa"/>
            <w:tcBorders/>
            <w:vAlign w:val="center"/>
          </w:tcPr>
          <w:p>
            <w:pPr>
              <w:pStyle w:val="TableContents"/>
              <w:bidi w:val="0"/>
              <w:spacing w:before="0" w:after="0"/>
              <w:ind w:left="0" w:right="0" w:hanging="0"/>
              <w:jc w:val="left"/>
              <w:rPr/>
            </w:pPr>
            <w:hyperlink w:anchor="ex_969149.htm">
              <w:r>
                <w:rPr>
                  <w:rStyle w:val="InternetLink"/>
                  <w:rFonts w:ascii="Times New Roman" w:hAnsi="Times New Roman"/>
                  <w:caps w:val="false"/>
                  <w:smallCaps w:val="false"/>
                  <w:sz w:val="20"/>
                </w:rPr>
                <w:t>Certification of Principal Financial Officer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612" w:type="dxa"/>
            <w:tcBorders/>
            <w:vAlign w:val="center"/>
          </w:tcPr>
          <w:p>
            <w:pPr>
              <w:pStyle w:val="TableContents"/>
              <w:bidi w:val="0"/>
              <w:spacing w:before="0" w:after="0"/>
              <w:ind w:left="0" w:right="0" w:hanging="0"/>
              <w:jc w:val="left"/>
              <w:rPr/>
            </w:pPr>
            <w:hyperlink w:anchor="ex_969150.htm">
              <w:r>
                <w:rPr>
                  <w:rStyle w:val="InternetLink"/>
                  <w:rFonts w:ascii="Times New Roman" w:hAnsi="Times New Roman"/>
                  <w:caps w:val="false"/>
                  <w:smallCaps w:val="false"/>
                  <w:sz w:val="20"/>
                </w:rPr>
                <w:t>Certification of the Chief Executive Officer and the Chief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6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 (the instant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6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6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6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6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Labels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6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69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61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Management contract, compensatory plan or arrangement.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certification furnished in Exhibit 32.1 hereto is deemed to accompany this Quarterly Report on Form 10-Q and will not be deemed “filed” for purposes of Section 18 of the Exchange Act of 1934. Such certification will not be deemed to be incorporated by reference into any filings under the Securities Act of 1933, as amended, or the Exchange Act, except to the extent that the Company specifically incorporates it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8" w:name="signatures"/>
      <w:bookmarkEnd w:id="18"/>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690" w:type="dxa"/>
        <w:jc w:val="left"/>
        <w:tblInd w:w="0" w:type="dxa"/>
        <w:tblLayout w:type="fixed"/>
        <w:tblCellMar>
          <w:top w:w="0" w:type="dxa"/>
          <w:left w:w="0" w:type="dxa"/>
          <w:bottom w:w="0" w:type="dxa"/>
          <w:right w:w="0" w:type="dxa"/>
        </w:tblCellMar>
      </w:tblPr>
      <w:tblGrid>
        <w:gridCol w:w="1610"/>
        <w:gridCol w:w="3080"/>
      </w:tblGrid>
      <w:tr>
        <w:trPr/>
        <w:tc>
          <w:tcPr>
            <w:tcW w:w="161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Filana Therapeutics, Inc.</w:t>
            </w:r>
          </w:p>
        </w:tc>
      </w:tr>
      <w:tr>
        <w:trPr/>
        <w:tc>
          <w:tcPr>
            <w:tcW w:w="161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(Registrant)</w:t>
            </w:r>
          </w:p>
        </w:tc>
      </w:tr>
      <w:tr>
        <w:trPr/>
        <w:tc>
          <w:tcPr>
            <w:tcW w:w="161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RICHARD J. BARRY</w:t>
            </w:r>
          </w:p>
        </w:tc>
      </w:tr>
      <w:tr>
        <w:trPr/>
        <w:tc>
          <w:tcPr>
            <w:tcW w:w="161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Richard J. Barry,</w:t>
            </w:r>
          </w:p>
        </w:tc>
      </w:tr>
      <w:tr>
        <w:trPr/>
        <w:tc>
          <w:tcPr>
            <w:tcW w:w="1610" w:type="dxa"/>
            <w:tcBorders/>
            <w:vAlign w:val="center"/>
          </w:tcPr>
          <w:p>
            <w:pPr>
              <w:pStyle w:val="TableContents"/>
              <w:bidi w:val="0"/>
              <w:spacing w:before="0" w:after="283"/>
              <w:jc w:val="left"/>
              <w:rPr/>
            </w:pPr>
            <w:r>
              <w:rPr/>
              <w:t> </w:t>
            </w:r>
          </w:p>
        </w:tc>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16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July 29, 2026</w:t>
            </w:r>
          </w:p>
        </w:tc>
        <w:tc>
          <w:tcPr>
            <w:tcW w:w="30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1880"/>
        <w:gridCol w:w="3635"/>
      </w:tblGrid>
      <w:tr>
        <w:trPr/>
        <w:tc>
          <w:tcPr>
            <w:tcW w:w="188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left"/>
              <w:rPr/>
            </w:pPr>
            <w:r>
              <w:rPr/>
              <w:t> </w:t>
            </w:r>
          </w:p>
        </w:tc>
      </w:tr>
      <w:tr>
        <w:trPr/>
        <w:tc>
          <w:tcPr>
            <w:tcW w:w="1880" w:type="dxa"/>
            <w:tcBorders/>
            <w:vAlign w:val="center"/>
          </w:tcPr>
          <w:p>
            <w:pPr>
              <w:pStyle w:val="TableContents"/>
              <w:bidi w:val="0"/>
              <w:spacing w:before="0" w:after="283"/>
              <w:jc w:val="left"/>
              <w:rPr/>
            </w:pPr>
            <w:r>
              <w:rPr/>
              <w:t> </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ERIC J. SCHOEN</w:t>
            </w:r>
          </w:p>
        </w:tc>
      </w:tr>
      <w:tr>
        <w:trPr/>
        <w:tc>
          <w:tcPr>
            <w:tcW w:w="188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Eric J. Schoen,</w:t>
            </w:r>
          </w:p>
        </w:tc>
      </w:tr>
      <w:tr>
        <w:trPr/>
        <w:tc>
          <w:tcPr>
            <w:tcW w:w="1880"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80" w:type="dxa"/>
            <w:tcBorders/>
            <w:vAlign w:val="center"/>
          </w:tcPr>
          <w:p>
            <w:pPr>
              <w:pStyle w:val="TableContents"/>
              <w:bidi w:val="0"/>
              <w:spacing w:before="0" w:after="283"/>
              <w:jc w:val="left"/>
              <w:rPr/>
            </w:pPr>
            <w:r>
              <w:rPr/>
              <w:t>Date: July 29, 2026</w:t>
            </w:r>
          </w:p>
        </w:tc>
        <w:tc>
          <w:tcPr>
            <w:tcW w:w="36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30 </w:t>
      </w:r>
    </w:p>
    <w:p>
      <w:pPr>
        <w:pStyle w:val="TextBody"/>
        <w:bidi w:val="0"/>
        <w:spacing w:before="0" w:after="0"/>
        <w:ind w:left="220" w:right="0" w:hanging="220"/>
        <w:jc w:val="right"/>
        <w:rPr>
          <w:rFonts w:ascii="Times New Roman" w:hAnsi="Times New Roman"/>
          <w:caps w:val="false"/>
          <w:smallCaps w:val="false"/>
          <w:sz w:val="20"/>
        </w:rPr>
      </w:pPr>
      <w:bookmarkStart w:id="19" w:name="ex_969148.htm"/>
      <w:bookmarkStart w:id="20" w:name="ksex_969148"/>
      <w:bookmarkEnd w:id="19"/>
      <w:bookmarkEnd w:id="20"/>
      <w:r>
        <w:rPr>
          <w:rFonts w:ascii="Times New Roman" w:hAnsi="Times New Roman"/>
          <w:caps w:val="false"/>
          <w:smallCaps w:val="false"/>
          <w:sz w:val="20"/>
        </w:rPr>
        <w:t>Exhibit 31.1</w:t>
      </w:r>
      <w:r>
        <w:br w:type="page"/>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THE PRINCIPAL EXECUTIVE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302 OF THE SARBANES-OXLEY ACT OF 2002</w:t>
      </w:r>
    </w:p>
    <w:p>
      <w:pPr>
        <w:pStyle w:val="TextBody"/>
        <w:bidi w:val="0"/>
        <w:spacing w:before="0" w:after="0"/>
        <w:ind w:left="0" w:right="0" w:hanging="0"/>
        <w:jc w:val="left"/>
        <w:rPr>
          <w:rFonts w:cs="Times New Roman"/>
          <w:bCs/>
          <w:caps w:val="false"/>
          <w:smallCaps w:val="false"/>
          <w:szCs w:val="20"/>
        </w:rPr>
      </w:pPr>
      <w:r>
        <w:rPr>
          <w:rFonts w:cs="Times New Roman"/>
          <w:bCs/>
          <w:caps w:val="false"/>
          <w:smallCaps w:val="false"/>
          <w:szCs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Richard J. Barry, certify that:</w:t>
      </w:r>
    </w:p>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60"/>
        <w:gridCol w:w="170"/>
        <w:gridCol w:w="6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6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Filana Therapeutics, Inc.;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102" w:type="dxa"/>
        <w:jc w:val="left"/>
        <w:tblInd w:w="0" w:type="dxa"/>
        <w:tblLayout w:type="fixed"/>
        <w:tblCellMar>
          <w:top w:w="0" w:type="dxa"/>
          <w:left w:w="0" w:type="dxa"/>
          <w:bottom w:w="0" w:type="dxa"/>
          <w:right w:w="0" w:type="dxa"/>
        </w:tblCellMar>
      </w:tblPr>
      <w:tblGrid>
        <w:gridCol w:w="23"/>
        <w:gridCol w:w="3008"/>
        <w:gridCol w:w="71"/>
      </w:tblGrid>
      <w:tr>
        <w:trPr/>
        <w:tc>
          <w:tcPr>
            <w:tcW w:w="23"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008" w:type="dxa"/>
            <w:tcBorders>
              <w:bottom w:val="single" w:sz="2" w:space="0" w:color="000000"/>
            </w:tcBorders>
            <w:tcMar>
              <w:bottom w:w="28" w:type="dxa"/>
            </w:tcMar>
            <w:vAlign w:val="center"/>
          </w:tcPr>
          <w:p>
            <w:pPr>
              <w:pStyle w:val="TableContents"/>
              <w:bidi w:val="0"/>
              <w:spacing w:before="0" w:after="283"/>
              <w:jc w:val="left"/>
              <w:rPr/>
            </w:pPr>
            <w:r>
              <w:rPr/>
              <w:t>/s/ RICHARD J. BARRY</w:t>
            </w:r>
          </w:p>
        </w:tc>
        <w:tc>
          <w:tcPr>
            <w:tcW w:w="71"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07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Richard J. Barry,</w:t>
            </w:r>
          </w:p>
        </w:tc>
      </w:tr>
      <w:tr>
        <w:trPr/>
        <w:tc>
          <w:tcPr>
            <w:tcW w:w="23"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07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23"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07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220" w:right="0" w:hanging="220"/>
        <w:jc w:val="right"/>
        <w:rPr>
          <w:rFonts w:ascii="Times New Roman" w:hAnsi="Times New Roman"/>
          <w:caps w:val="false"/>
          <w:smallCaps w:val="false"/>
          <w:sz w:val="20"/>
        </w:rPr>
      </w:pPr>
      <w:bookmarkStart w:id="21" w:name="ex_969149.htm"/>
      <w:bookmarkStart w:id="22" w:name="ksex_969149"/>
      <w:bookmarkEnd w:id="21"/>
      <w:bookmarkEnd w:id="22"/>
      <w:r>
        <w:rPr>
          <w:rFonts w:ascii="Times New Roman" w:hAnsi="Times New Roman"/>
          <w:caps w:val="false"/>
          <w:smallCaps w:val="false"/>
          <w:sz w:val="20"/>
        </w:rPr>
        <w:t>Exhibit 31.2</w:t>
      </w:r>
      <w:r>
        <w:br w:type="page"/>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THE PRINCIPAL FINANCIAL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302 OF THE SARBANES-OXLEY ACT OF 2002</w:t>
      </w:r>
    </w:p>
    <w:p>
      <w:pPr>
        <w:pStyle w:val="TextBody"/>
        <w:bidi w:val="0"/>
        <w:spacing w:before="0" w:after="0"/>
        <w:ind w:left="0" w:right="0" w:hanging="0"/>
        <w:jc w:val="left"/>
        <w:rPr>
          <w:rFonts w:cs="Times New Roman"/>
          <w:bCs/>
          <w:caps w:val="false"/>
          <w:smallCaps w:val="false"/>
          <w:szCs w:val="20"/>
        </w:rPr>
      </w:pPr>
      <w:r>
        <w:rPr>
          <w:rFonts w:cs="Times New Roman"/>
          <w:bCs/>
          <w:caps w:val="false"/>
          <w:smallCaps w:val="false"/>
          <w:szCs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Eric J. Schoen, certify that:</w:t>
      </w:r>
    </w:p>
    <w:p>
      <w:pPr>
        <w:pStyle w:val="TextBody"/>
        <w:bidi w:val="0"/>
        <w:spacing w:before="0" w:after="0"/>
        <w:ind w:left="0" w:right="0" w:hanging="0"/>
        <w:jc w:val="left"/>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60"/>
        <w:gridCol w:w="170"/>
        <w:gridCol w:w="66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6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Filana Therapeutics, Inc.;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7" w:type="dxa"/>
        <w:jc w:val="left"/>
        <w:tblInd w:w="0" w:type="dxa"/>
        <w:tblLayout w:type="fixed"/>
        <w:tblCellMar>
          <w:top w:w="0" w:type="dxa"/>
          <w:left w:w="0" w:type="dxa"/>
          <w:bottom w:w="0" w:type="dxa"/>
          <w:right w:w="0" w:type="dxa"/>
        </w:tblCellMar>
      </w:tblPr>
      <w:tblGrid>
        <w:gridCol w:w="23"/>
        <w:gridCol w:w="2207"/>
        <w:gridCol w:w="77"/>
      </w:tblGrid>
      <w:tr>
        <w:trPr/>
        <w:tc>
          <w:tcPr>
            <w:tcW w:w="23"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2207"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ERIC J. SCHOEN</w:t>
            </w:r>
          </w:p>
        </w:tc>
        <w:tc>
          <w:tcPr>
            <w:tcW w:w="77" w:type="dxa"/>
            <w:tcBorders/>
            <w:vAlign w:val="center"/>
          </w:tcPr>
          <w:p>
            <w:pPr>
              <w:pStyle w:val="TableContents"/>
              <w:bidi w:val="0"/>
              <w:spacing w:before="0" w:after="283"/>
              <w:jc w:val="left"/>
              <w:rPr/>
            </w:pPr>
            <w:r>
              <w:rPr/>
              <w:t> </w:t>
            </w:r>
          </w:p>
        </w:tc>
      </w:tr>
      <w:tr>
        <w:trPr/>
        <w:tc>
          <w:tcPr>
            <w:tcW w:w="23"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228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Eric J. Schoen,</w:t>
            </w:r>
          </w:p>
        </w:tc>
      </w:tr>
      <w:tr>
        <w:trPr/>
        <w:tc>
          <w:tcPr>
            <w:tcW w:w="23"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228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23"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2284"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caps w:val="false"/>
          <w:smallCaps w:val="false"/>
          <w:sz w:val="20"/>
        </w:rPr>
      </w:pPr>
      <w:bookmarkStart w:id="23" w:name="ex_969150.htm"/>
      <w:bookmarkStart w:id="24" w:name="ksex_969150"/>
      <w:bookmarkEnd w:id="23"/>
      <w:bookmarkEnd w:id="24"/>
      <w:r>
        <w:rPr>
          <w:rFonts w:ascii="Times New Roman" w:hAnsi="Times New Roman"/>
          <w:caps w:val="false"/>
          <w:smallCaps w:val="false"/>
          <w:sz w:val="20"/>
        </w:rPr>
        <w:t>Exhibit 32.1</w:t>
      </w:r>
      <w:r>
        <w:br w:type="page"/>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THE CHIEF EXECUTIVE OFFICER AND CHIEF FINANCIAL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center"/>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18 U.S.C. Section 1350, as adopted pursuant to Section 906 of the Sarbanes-Oxley Act of 2002, each of the undersigned officers of Filana Therapeutics, Inc. (the “Company”), hereby certifies that to the best of such officer’s knowledge:</w:t>
      </w:r>
    </w:p>
    <w:p>
      <w:pPr>
        <w:pStyle w:val="TextBody"/>
        <w:bidi w:val="0"/>
        <w:spacing w:before="0" w:after="0"/>
        <w:ind w:left="0" w:right="0" w:hanging="0"/>
        <w:jc w:val="both"/>
        <w:rPr>
          <w:rFonts w:cs="Times New Roman"/>
          <w:caps w:val="false"/>
          <w:smallCaps w:val="false"/>
          <w:szCs w:val="20"/>
        </w:rPr>
      </w:pPr>
      <w:r>
        <w:rPr>
          <w:rFonts w:cs="Times New Roman"/>
          <w:caps w:val="false"/>
          <w:smallCaps w:val="false"/>
          <w:szCs w:val="20"/>
        </w:rPr>
        <w:t>﻿</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The Company’s Quarterly Report on Form 10-Q for the period ended </w:t>
            </w:r>
            <w:bookmarkStart w:id="25" w:name="led457195F2024241709592849098"/>
            <w:bookmarkEnd w:id="25"/>
            <w:r>
              <w:rPr>
                <w:rFonts w:ascii="Times New Roman;Times;serif" w:hAnsi="Times New Roman;Times;serif"/>
                <w:caps w:val="false"/>
                <w:smallCaps w:val="false"/>
                <w:sz w:val="20"/>
              </w:rPr>
              <w:t>June 30, 2026, and to which this certification is attached as Exhibit 32.1 (the “Periodic Report”), fully complies with the requirements of Section 13-(a) or 15-(d) of the Securities Exchange Act of 1934, and</w:t>
            </w:r>
          </w:p>
        </w:tc>
      </w:tr>
    </w:tbl>
    <w:p>
      <w:pPr>
        <w:pStyle w:val="TextBody"/>
        <w:bidi w:val="0"/>
        <w:spacing w:before="0" w:after="0"/>
        <w:ind w:left="360" w:right="0" w:hanging="0"/>
        <w:jc w:val="both"/>
        <w:rPr>
          <w:rFonts w:cs="Times New Roman"/>
          <w:caps w:val="false"/>
          <w:smallCaps w:val="false"/>
          <w:szCs w:val="20"/>
        </w:rPr>
      </w:pPr>
      <w:r>
        <w:rPr>
          <w:rFonts w:cs="Times New Roman"/>
          <w:caps w:val="false"/>
          <w:smallCaps w:val="false"/>
          <w:szCs w:val="20"/>
        </w:rPr>
        <w:t>﻿</w:t>
      </w:r>
    </w:p>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Periodic Report fairly presents, in all material respects, the financial condition and results of operations of the Company.</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3600" w:right="0" w:firstLine="720"/>
        <w:jc w:val="left"/>
        <w:rPr>
          <w:rFonts w:ascii="Times New Roman" w:hAnsi="Times New Roman"/>
          <w:caps w:val="false"/>
          <w:smallCaps w:val="false"/>
          <w:sz w:val="20"/>
        </w:rPr>
      </w:pPr>
      <w:r>
        <w:rPr>
          <w:rFonts w:ascii="Times New Roman" w:hAnsi="Times New Roman"/>
          <w:caps w:val="false"/>
          <w:smallCaps w:val="false"/>
          <w:sz w:val="20"/>
        </w:rPr>
        <w:t>Date:  July 29, 2026</w:t>
      </w:r>
    </w:p>
    <w:p>
      <w:pPr>
        <w:pStyle w:val="TextBody"/>
        <w:bidi w:val="0"/>
        <w:spacing w:before="0" w:after="0"/>
        <w:ind w:left="5760" w:right="0" w:firstLine="720"/>
        <w:jc w:val="left"/>
        <w:rPr>
          <w:rFonts w:cs="Times New Roman"/>
          <w:caps w:val="false"/>
          <w:smallCaps w:val="false"/>
          <w:szCs w:val="20"/>
        </w:rPr>
      </w:pPr>
      <w:r>
        <w:rPr>
          <w:rFonts w:cs="Times New Roman"/>
          <w:caps w:val="false"/>
          <w:smallCaps w:val="false"/>
          <w:szCs w:val="20"/>
        </w:rPr>
        <w:t>﻿</w:t>
      </w:r>
    </w:p>
    <w:tbl>
      <w:tblPr>
        <w:tblW w:w="4309" w:type="dxa"/>
        <w:jc w:val="left"/>
        <w:tblInd w:w="0" w:type="dxa"/>
        <w:tblLayout w:type="fixed"/>
        <w:tblCellMar>
          <w:top w:w="0" w:type="dxa"/>
          <w:left w:w="0" w:type="dxa"/>
          <w:bottom w:w="0" w:type="dxa"/>
          <w:right w:w="0" w:type="dxa"/>
        </w:tblCellMar>
      </w:tblPr>
      <w:tblGrid>
        <w:gridCol w:w="60"/>
        <w:gridCol w:w="4151"/>
        <w:gridCol w:w="98"/>
      </w:tblGrid>
      <w:tr>
        <w:trPr/>
        <w:tc>
          <w:tcPr>
            <w:tcW w:w="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4151" w:type="dxa"/>
            <w:tcBorders>
              <w:bottom w:val="single" w:sz="2" w:space="0" w:color="000000"/>
            </w:tcBorders>
            <w:tcMar>
              <w:bottom w:w="28" w:type="dxa"/>
            </w:tcMar>
            <w:vAlign w:val="center"/>
          </w:tcPr>
          <w:p>
            <w:pPr>
              <w:pStyle w:val="TableContents"/>
              <w:bidi w:val="0"/>
              <w:spacing w:before="0" w:after="283"/>
              <w:jc w:val="left"/>
              <w:rPr/>
            </w:pPr>
            <w:r>
              <w:rPr/>
              <w:t>/s/ RICHARD J. BARRY</w:t>
            </w:r>
          </w:p>
        </w:tc>
        <w:tc>
          <w:tcPr>
            <w:tcW w:w="9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4249" w:type="dxa"/>
            <w:gridSpan w:val="2"/>
            <w:tcBorders/>
            <w:vAlign w:val="center"/>
          </w:tcPr>
          <w:p>
            <w:pPr>
              <w:pStyle w:val="TableContents"/>
              <w:bidi w:val="0"/>
              <w:spacing w:before="0" w:after="283"/>
              <w:jc w:val="left"/>
              <w:rPr/>
            </w:pPr>
            <w:r>
              <w:rPr/>
              <w:t>Richard J. Barry</w:t>
            </w:r>
          </w:p>
        </w:tc>
      </w:tr>
      <w:tr>
        <w:trPr/>
        <w:tc>
          <w:tcPr>
            <w:tcW w:w="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424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President and Chief Executive Officer</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(Principal Executive Officer)</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4249"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ERIC J. SCHOEN</w:t>
            </w:r>
          </w:p>
        </w:tc>
      </w:tr>
      <w:tr>
        <w:trPr/>
        <w:tc>
          <w:tcPr>
            <w:tcW w:w="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424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Eric J. Schoen,</w:t>
            </w:r>
          </w:p>
        </w:tc>
      </w:tr>
      <w:tr>
        <w:trPr/>
        <w:tc>
          <w:tcPr>
            <w:tcW w:w="6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424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60" w:type="dxa"/>
            <w:tcBorders/>
            <w:vAlign w:val="center"/>
          </w:tcPr>
          <w:p>
            <w:pPr>
              <w:pStyle w:val="TableContents"/>
              <w:bidi w:val="0"/>
              <w:spacing w:before="0" w:after="283"/>
              <w:jc w:val="left"/>
              <w:rPr/>
            </w:pPr>
            <w:r>
              <w:rPr/>
              <w:t> </w:t>
            </w:r>
          </w:p>
        </w:tc>
        <w:tc>
          <w:tcPr>
            <w:tcW w:w="4249" w:type="dxa"/>
            <w:gridSpan w:val="2"/>
            <w:tcBorders/>
            <w:vAlign w:val="center"/>
          </w:tcPr>
          <w:p>
            <w:pPr>
              <w:pStyle w:val="TableContents"/>
              <w:bidi w:val="0"/>
              <w:spacing w:before="0" w:after="283"/>
              <w:jc w:val="left"/>
              <w:rPr/>
            </w:pPr>
            <w:r>
              <w:rPr/>
              <w:t>(Principal Financial and Accounting Officer)</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069530/000119312505152582/dex31.htm" TargetMode="External"/><Relationship Id="rId4" Type="http://schemas.openxmlformats.org/officeDocument/2006/relationships/hyperlink" Target="http://www.sec.gov/Archives/edgar/data/1069530/000106953017000028/ptie-20170508xex3_1.htm" TargetMode="External"/><Relationship Id="rId5" Type="http://schemas.openxmlformats.org/officeDocument/2006/relationships/hyperlink" Target="http://www.sec.gov/Archives/edgar/data/1069530/000106953019000019/sava-20181231xex3_3.htm" TargetMode="External"/><Relationship Id="rId6" Type="http://schemas.openxmlformats.org/officeDocument/2006/relationships/hyperlink" Target="http://www.sec.gov/Archives/edgar/data/1069530/000143774926007422/ex_929959.htm" TargetMode="External"/><Relationship Id="rId7" Type="http://schemas.openxmlformats.org/officeDocument/2006/relationships/hyperlink" Target="http://www.sec.gov/Archives/edgar/data/1069530/000143774926007422/ex_929960.htm" TargetMode="External"/><Relationship Id="rId8" Type="http://schemas.openxmlformats.org/officeDocument/2006/relationships/hyperlink" Target="http://www.sec.gov/Archives/edgar/data/1069530/000143774926020562/ex_975585.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18406</Words>
  <Characters>103039</Characters>
  <CharactersWithSpaces>122261</CharactersWithSpaces>
  <Paragraphs>3574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