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139065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131445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Filana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0"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2040" w:type="dxa"/>
            <w:vAlign w:val="bottom"/>
          </w:tcPr>
          <w:p>
            <w:pPr>
              <w:jc w:val="center"/>
              <w:ind w:right="3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001-49105</w:t>
            </w:r>
          </w:p>
        </w:tc>
        <w:tc>
          <w:tcPr>
            <w:tcW w:w="1880" w:type="dxa"/>
            <w:vAlign w:val="bottom"/>
          </w:tcPr>
          <w:p>
            <w:pPr>
              <w:jc w:val="center"/>
              <w:ind w:left="382"/>
              <w:spacing w:after="0"/>
              <w:rPr>
                <w:sz w:val="20"/>
                <w:szCs w:val="20"/>
                <w:color w:val="auto"/>
              </w:rPr>
            </w:pPr>
            <w:r>
              <w:rPr>
                <w:rFonts w:ascii="Times New Roman" w:cs="Times New Roman" w:eastAsia="Times New Roman" w:hAnsi="Times New Roman"/>
                <w:sz w:val="18"/>
                <w:szCs w:val="18"/>
                <w:b w:val="1"/>
                <w:bCs w:val="1"/>
                <w:color w:val="auto"/>
                <w:w w:val="98"/>
              </w:rPr>
              <w:t>91-1911336</w:t>
            </w:r>
          </w:p>
        </w:tc>
      </w:tr>
      <w:tr>
        <w:trPr>
          <w:trHeight w:val="148"/>
        </w:trPr>
        <w:tc>
          <w:tcPr>
            <w:tcW w:w="2040" w:type="dxa"/>
            <w:vAlign w:val="bottom"/>
          </w:tcPr>
          <w:p>
            <w:pPr>
              <w:jc w:val="center"/>
              <w:ind w:right="3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80" w:type="dxa"/>
            <w:vAlign w:val="bottom"/>
          </w:tcPr>
          <w:p>
            <w:pPr>
              <w:jc w:val="center"/>
              <w:ind w:left="3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4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80" w:type="dxa"/>
            <w:vAlign w:val="bottom"/>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93"/>
        </w:trPr>
        <w:tc>
          <w:tcPr>
            <w:tcW w:w="2040" w:type="dxa"/>
            <w:vAlign w:val="bottom"/>
          </w:tcPr>
          <w:p>
            <w:pPr>
              <w:spacing w:after="0"/>
              <w:rPr>
                <w:sz w:val="24"/>
                <w:szCs w:val="24"/>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6801 N Capital of Texas Highway, Building 1; Suite 300</w:t>
            </w:r>
          </w:p>
        </w:tc>
        <w:tc>
          <w:tcPr>
            <w:tcW w:w="1880" w:type="dxa"/>
            <w:vAlign w:val="bottom"/>
          </w:tcPr>
          <w:p>
            <w:pPr>
              <w:spacing w:after="0"/>
              <w:rPr>
                <w:sz w:val="24"/>
                <w:szCs w:val="24"/>
                <w:color w:val="auto"/>
              </w:rPr>
            </w:pPr>
          </w:p>
        </w:tc>
      </w:tr>
      <w:tr>
        <w:trPr>
          <w:trHeight w:val="214"/>
        </w:trPr>
        <w:tc>
          <w:tcPr>
            <w:tcW w:w="204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Austin, Texas 78731</w:t>
            </w:r>
          </w:p>
        </w:tc>
        <w:tc>
          <w:tcPr>
            <w:tcW w:w="1880" w:type="dxa"/>
            <w:vAlign w:val="bottom"/>
          </w:tcPr>
          <w:p>
            <w:pPr>
              <w:spacing w:after="0"/>
              <w:rPr>
                <w:sz w:val="18"/>
                <w:szCs w:val="18"/>
                <w:color w:val="auto"/>
              </w:rPr>
            </w:pPr>
          </w:p>
        </w:tc>
      </w:tr>
      <w:tr>
        <w:trPr>
          <w:trHeight w:val="190"/>
        </w:trPr>
        <w:tc>
          <w:tcPr>
            <w:tcW w:w="2040" w:type="dxa"/>
            <w:vAlign w:val="bottom"/>
          </w:tcPr>
          <w:p>
            <w:pPr>
              <w:spacing w:after="0"/>
              <w:rPr>
                <w:sz w:val="16"/>
                <w:szCs w:val="16"/>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80" w:type="dxa"/>
            <w:vAlign w:val="bottom"/>
          </w:tcPr>
          <w:p>
            <w:pPr>
              <w:spacing w:after="0"/>
              <w:rPr>
                <w:sz w:val="16"/>
                <w:szCs w:val="16"/>
                <w:color w:val="auto"/>
              </w:rPr>
            </w:pPr>
          </w:p>
        </w:tc>
      </w:tr>
      <w:tr>
        <w:trPr>
          <w:trHeight w:val="390"/>
        </w:trPr>
        <w:tc>
          <w:tcPr>
            <w:tcW w:w="2040" w:type="dxa"/>
            <w:vAlign w:val="bottom"/>
          </w:tcPr>
          <w:p>
            <w:pPr>
              <w:spacing w:after="0"/>
              <w:rPr>
                <w:sz w:val="24"/>
                <w:szCs w:val="24"/>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(512) 501-2444</w:t>
            </w:r>
          </w:p>
        </w:tc>
        <w:tc>
          <w:tcPr>
            <w:tcW w:w="1880" w:type="dxa"/>
            <w:vAlign w:val="bottom"/>
          </w:tcPr>
          <w:p>
            <w:pPr>
              <w:spacing w:after="0"/>
              <w:rPr>
                <w:sz w:val="24"/>
                <w:szCs w:val="24"/>
                <w:color w:val="auto"/>
              </w:rPr>
            </w:pPr>
          </w:p>
        </w:tc>
      </w:tr>
      <w:tr>
        <w:trPr>
          <w:trHeight w:val="190"/>
        </w:trPr>
        <w:tc>
          <w:tcPr>
            <w:tcW w:w="2040" w:type="dxa"/>
            <w:vAlign w:val="bottom"/>
          </w:tcPr>
          <w:p>
            <w:pPr>
              <w:spacing w:after="0"/>
              <w:rPr>
                <w:sz w:val="16"/>
                <w:szCs w:val="16"/>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telephone number, including area code)</w:t>
            </w:r>
          </w:p>
        </w:tc>
        <w:tc>
          <w:tcPr>
            <w:tcW w:w="1880" w:type="dxa"/>
            <w:vAlign w:val="bottom"/>
          </w:tcPr>
          <w:p>
            <w:pPr>
              <w:spacing w:after="0"/>
              <w:rPr>
                <w:sz w:val="16"/>
                <w:szCs w:val="16"/>
                <w:color w:val="auto"/>
              </w:rPr>
            </w:pPr>
          </w:p>
        </w:tc>
      </w:tr>
      <w:tr>
        <w:trPr>
          <w:trHeight w:val="446"/>
        </w:trPr>
        <w:tc>
          <w:tcPr>
            <w:tcW w:w="2040" w:type="dxa"/>
            <w:vAlign w:val="bottom"/>
          </w:tcPr>
          <w:p>
            <w:pPr>
              <w:spacing w:after="0"/>
              <w:rPr>
                <w:sz w:val="24"/>
                <w:szCs w:val="24"/>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100330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10"/>
        </w:trPr>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38"/>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FLNA</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39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As described in Item 5.07 below, on June 11, 2026, at the 2026 Annual Meeting of Stockholders (the “2026 Annual Meeting”) of Filana Therapeutics, Inc. (the “Company”), the stockholders of the Company approved Amendment No. 2 to the Company’s 2018 Omnibus Incentive Plan (as amended, the “2018 Plan”). A summary of key changes to the 2018 Plan follows:</w:t>
      </w:r>
    </w:p>
    <w:p>
      <w:pPr>
        <w:spacing w:after="0" w:line="176" w:lineRule="exact"/>
        <w:rPr>
          <w:sz w:val="20"/>
          <w:szCs w:val="20"/>
          <w:color w:val="auto"/>
        </w:rPr>
      </w:pPr>
    </w:p>
    <w:p>
      <w:pPr>
        <w:ind w:left="1420" w:hanging="454"/>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authorized number of shares issuable thereunder by 4,000,000 shares (from 5,000,000 to 9,000,000 authorized shares).</w:t>
      </w:r>
    </w:p>
    <w:p>
      <w:pPr>
        <w:spacing w:after="0" w:line="225" w:lineRule="exact"/>
        <w:rPr>
          <w:rFonts w:ascii="Times New Roman" w:cs="Times New Roman" w:eastAsia="Times New Roman" w:hAnsi="Times New Roman"/>
          <w:sz w:val="18"/>
          <w:szCs w:val="18"/>
          <w:color w:val="auto"/>
        </w:rPr>
      </w:pPr>
    </w:p>
    <w:p>
      <w:pPr>
        <w:ind w:left="1420" w:hanging="454"/>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term of the Plan by two years, through and until January 31, 2030.</w:t>
      </w:r>
    </w:p>
    <w:p>
      <w:pPr>
        <w:spacing w:after="0" w:line="184" w:lineRule="exact"/>
        <w:rPr>
          <w:rFonts w:ascii="Times New Roman" w:cs="Times New Roman" w:eastAsia="Times New Roman" w:hAnsi="Times New Roman"/>
          <w:sz w:val="18"/>
          <w:szCs w:val="18"/>
          <w:color w:val="auto"/>
        </w:rPr>
      </w:pPr>
    </w:p>
    <w:p>
      <w:pPr>
        <w:ind w:left="1420" w:hanging="454"/>
        <w:spacing w:after="0" w:line="207" w:lineRule="exact"/>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Explicitly prohibiting repricing, replacing, or cash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of stock options or SARs without stockholder approval.</w:t>
      </w:r>
    </w:p>
    <w:p>
      <w:pPr>
        <w:spacing w:after="0" w:line="225" w:lineRule="exact"/>
        <w:rPr>
          <w:rFonts w:ascii="Times New Roman" w:cs="Times New Roman" w:eastAsia="Times New Roman" w:hAnsi="Times New Roman"/>
          <w:sz w:val="18"/>
          <w:szCs w:val="18"/>
          <w:color w:val="auto"/>
        </w:rPr>
      </w:pPr>
    </w:p>
    <w:p>
      <w:pPr>
        <w:ind w:left="1420" w:hanging="454"/>
        <w:spacing w:after="0" w:line="207" w:lineRule="exact"/>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maximum annual limit on compensation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directors, expressed in both shares and dollar value, and</w:t>
      </w:r>
    </w:p>
    <w:p>
      <w:pPr>
        <w:spacing w:after="0" w:line="265" w:lineRule="exact"/>
        <w:rPr>
          <w:rFonts w:ascii="Times New Roman" w:cs="Times New Roman" w:eastAsia="Times New Roman" w:hAnsi="Times New Roman"/>
          <w:sz w:val="18"/>
          <w:szCs w:val="18"/>
          <w:color w:val="auto"/>
        </w:rPr>
      </w:pPr>
    </w:p>
    <w:p>
      <w:pPr>
        <w:ind w:left="1420" w:hanging="454"/>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maximum annual limit on equity awards to individuals granted during any single fiscal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the amendment, please see the related proposal in the Proxy Statement (as defined in Item 5.07 below).</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2018 Plan does not purport to be complete and is qualified in its entirety by reference to the full text of the amended Plan, a copy of which is attached as Exhibit 10.1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2026 Annual Meeting of the Company was held at approximately 8:30 a.m. Central Time on June 11, 2026, pursuant to the Notice of Annual Meeting of Stockholders dated April 29, 2026 and duly delivered to all Company stockholders of record as of April 21, 2026. Of the 48,307,896 shares of the Company’s common stock entitled to vote at the 2026 Annual Meeting, 24,559,776 shares, or approximately 51%, were represented at the 2026 Annual Meeting virtually or by proxy, constituting a quorum. At the 2026 Annual Meeting, the Company’s stockholders voted on four proposals, each of which is described in more detail in the Company’s definitive proxy statement filed with the U.S. Securities and Exchange Commission on April 28, 2026 (the “Proxy Statement”). The following is a brief description of each matter voted on and the certified results, including the number of votes cast for and against each matter, and if applicable, the number of abstentions and broker non-votes with respect to each matter.</w:t>
      </w:r>
    </w:p>
    <w:p>
      <w:pPr>
        <w:spacing w:after="0" w:line="18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One </w:t>
      </w:r>
      <w:r>
        <w:rPr>
          <w:rFonts w:ascii="Times New Roman" w:cs="Times New Roman" w:eastAsia="Times New Roman" w:hAnsi="Times New Roman"/>
          <w:sz w:val="18"/>
          <w:szCs w:val="18"/>
          <w:color w:val="auto"/>
        </w:rPr>
        <w:t>– Three (3) nominees for election or re-election to the Board of Directors were elected to serve for a three-year term, and until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are duly elected and qualified, based upon the following votes: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For</w:t>
            </w:r>
          </w:p>
        </w:tc>
        <w:tc>
          <w:tcPr>
            <w:tcW w:w="1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Withheld</w:t>
            </w:r>
          </w:p>
        </w:tc>
        <w:tc>
          <w:tcPr>
            <w:tcW w:w="3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Broker Non-Vote</w:t>
            </w:r>
          </w:p>
        </w:tc>
      </w:tr>
      <w:tr>
        <w:trPr>
          <w:trHeight w:val="21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Richard J. Barry</w:t>
            </w:r>
          </w:p>
        </w:tc>
        <w:tc>
          <w:tcPr>
            <w:tcW w:w="26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8,851,285</w:t>
            </w:r>
          </w:p>
        </w:tc>
        <w:tc>
          <w:tcPr>
            <w:tcW w:w="19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1,564,191</w:t>
            </w:r>
          </w:p>
        </w:tc>
        <w:tc>
          <w:tcPr>
            <w:tcW w:w="3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14,144,300</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Pierre Gravier</w:t>
            </w:r>
          </w:p>
        </w:tc>
        <w:tc>
          <w:tcPr>
            <w:tcW w:w="26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9,069,595</w:t>
            </w:r>
          </w:p>
        </w:tc>
        <w:tc>
          <w:tcPr>
            <w:tcW w:w="19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1,345,881</w:t>
            </w:r>
          </w:p>
        </w:tc>
        <w:tc>
          <w:tcPr>
            <w:tcW w:w="3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14,144,300</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Claude Nicaise, M.D.</w:t>
            </w:r>
          </w:p>
        </w:tc>
        <w:tc>
          <w:tcPr>
            <w:tcW w:w="26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8,924,355</w:t>
            </w:r>
          </w:p>
        </w:tc>
        <w:tc>
          <w:tcPr>
            <w:tcW w:w="19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1,491,121</w:t>
            </w:r>
          </w:p>
        </w:tc>
        <w:tc>
          <w:tcPr>
            <w:tcW w:w="3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14,144,300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Two </w:t>
      </w:r>
      <w:r>
        <w:rPr>
          <w:rFonts w:ascii="Times New Roman" w:cs="Times New Roman" w:eastAsia="Times New Roman" w:hAnsi="Times New Roman"/>
          <w:sz w:val="18"/>
          <w:szCs w:val="18"/>
          <w:color w:val="auto"/>
        </w:rPr>
        <w:t>– An amendment to the Company’s 2018 Omnibus Incentive Plan was approved based upon the following votes: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t>
            </w:r>
          </w:p>
        </w:tc>
        <w:tc>
          <w:tcPr>
            <w:tcW w:w="2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Against</w:t>
            </w:r>
          </w:p>
        </w:tc>
        <w:tc>
          <w:tcPr>
            <w:tcW w:w="2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Abstain</w:t>
            </w:r>
          </w:p>
        </w:tc>
        <w:tc>
          <w:tcPr>
            <w:tcW w:w="4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Broker Non -Vote</w:t>
            </w:r>
          </w:p>
        </w:tc>
      </w:tr>
      <w:tr>
        <w:trPr>
          <w:trHeight w:val="216"/>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8,427,565</w:t>
            </w:r>
          </w:p>
        </w:tc>
        <w:tc>
          <w:tcPr>
            <w:tcW w:w="2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1,869,290</w:t>
            </w:r>
          </w:p>
        </w:tc>
        <w:tc>
          <w:tcPr>
            <w:tcW w:w="2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118,621</w:t>
            </w:r>
          </w:p>
        </w:tc>
        <w:tc>
          <w:tcPr>
            <w:tcW w:w="48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14,144,300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Three </w:t>
      </w:r>
      <w:r>
        <w:rPr>
          <w:rFonts w:ascii="Times New Roman" w:cs="Times New Roman" w:eastAsia="Times New Roman" w:hAnsi="Times New Roman"/>
          <w:sz w:val="18"/>
          <w:szCs w:val="18"/>
          <w:color w:val="auto"/>
        </w:rPr>
        <w:t>– The appointment of Ernst &amp; Young LLP as the independent registered public accounting firm for the Company for the fiscal year ending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was ratified based upon the following votes: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w:t>
            </w:r>
          </w:p>
        </w:tc>
        <w:tc>
          <w:tcPr>
            <w:tcW w:w="39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Against</w:t>
            </w:r>
          </w:p>
        </w:tc>
        <w:tc>
          <w:tcPr>
            <w:tcW w:w="46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Abstain</w:t>
            </w:r>
          </w:p>
        </w:tc>
      </w:tr>
      <w:tr>
        <w:trPr>
          <w:trHeight w:val="216"/>
        </w:trPr>
        <w:tc>
          <w:tcPr>
            <w:tcW w:w="2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22,671,610</w:t>
            </w:r>
          </w:p>
        </w:tc>
        <w:tc>
          <w:tcPr>
            <w:tcW w:w="390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1,408,513</w:t>
            </w:r>
          </w:p>
        </w:tc>
        <w:tc>
          <w:tcPr>
            <w:tcW w:w="462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479,653</w:t>
            </w:r>
          </w:p>
        </w:tc>
      </w:tr>
    </w:tbl>
    <w:p>
      <w:pPr>
        <w:spacing w:after="0" w:line="19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Four </w:t>
      </w:r>
      <w:r>
        <w:rPr>
          <w:rFonts w:ascii="Times New Roman" w:cs="Times New Roman" w:eastAsia="Times New Roman" w:hAnsi="Times New Roman"/>
          <w:sz w:val="18"/>
          <w:szCs w:val="18"/>
          <w:color w:val="auto"/>
        </w:rPr>
        <w:t>– The 2025 executive compensation for the Company’s named executive officers was approved, on a non-binding advisory vote,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following votes: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t>
            </w:r>
          </w:p>
        </w:tc>
        <w:tc>
          <w:tcPr>
            <w:tcW w:w="2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Against</w:t>
            </w:r>
          </w:p>
        </w:tc>
        <w:tc>
          <w:tcPr>
            <w:tcW w:w="2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Abstain</w:t>
            </w:r>
          </w:p>
        </w:tc>
        <w:tc>
          <w:tcPr>
            <w:tcW w:w="4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Broker Non -Vote</w:t>
            </w:r>
          </w:p>
        </w:tc>
      </w:tr>
      <w:tr>
        <w:trPr>
          <w:trHeight w:val="216"/>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7,487,142</w:t>
            </w:r>
          </w:p>
        </w:tc>
        <w:tc>
          <w:tcPr>
            <w:tcW w:w="2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2,827,840</w:t>
            </w:r>
          </w:p>
        </w:tc>
        <w:tc>
          <w:tcPr>
            <w:tcW w:w="2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100,494</w:t>
            </w:r>
          </w:p>
        </w:tc>
        <w:tc>
          <w:tcPr>
            <w:tcW w:w="48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14,144,300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Filana Therapeutics, Inc. 2018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FILANA THERAPEUTICS, INC.</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2026</w:t>
      </w:r>
    </w:p>
    <w:tbl>
      <w:tblPr>
        <w:tblLayout w:type="fixed"/>
        <w:tblInd w:w="4400" w:type="dxa"/>
        <w:tblCellMar>
          <w:top w:w="0" w:type="dxa"/>
          <w:left w:w="0" w:type="dxa"/>
          <w:bottom w:w="0" w:type="dxa"/>
          <w:right w:w="0" w:type="dxa"/>
        </w:tblCellMar>
      </w:tblPr>
      <w:tr>
        <w:trPr>
          <w:trHeight w:val="203"/>
        </w:trPr>
        <w:tc>
          <w:tcPr>
            <w:tcW w:w="9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By:</w:t>
            </w:r>
          </w:p>
        </w:tc>
        <w:tc>
          <w:tcPr>
            <w:tcW w:w="16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/s/ ERIC J. SCHOEN</w:t>
            </w:r>
          </w:p>
        </w:tc>
      </w:tr>
      <w:tr>
        <w:trPr>
          <w:trHeight w:val="218"/>
        </w:trPr>
        <w:tc>
          <w:tcPr>
            <w:tcW w:w="900" w:type="dxa"/>
            <w:vAlign w:val="bottom"/>
          </w:tcPr>
          <w:p>
            <w:pPr>
              <w:spacing w:after="0"/>
              <w:rPr>
                <w:sz w:val="18"/>
                <w:szCs w:val="18"/>
                <w:color w:val="auto"/>
              </w:rPr>
            </w:pPr>
          </w:p>
        </w:tc>
        <w:tc>
          <w:tcPr>
            <w:tcW w:w="1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Eric J. Schoen</w:t>
            </w:r>
          </w:p>
        </w:tc>
        <w:tc>
          <w:tcPr>
            <w:tcW w:w="14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ectPr>
          <w:pgSz w:w="11900" w:h="16838" w:orient="portrait"/>
          <w:cols w:equalWidth="0" w:num="1">
            <w:col w:w="11220"/>
          </w:cols>
          <w:pgMar w:left="320" w:top="576"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FILANA THERAPEUTICS, INC. 2018 OMNIBUS INCENTIVE PLAN</w:t>
      </w:r>
    </w:p>
    <w:p>
      <w:pPr>
        <w:spacing w:after="0" w:line="2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(CONFORMED COPY THROUGH AMENDMENT NO. 2)</w:t>
      </w:r>
    </w:p>
    <w:p>
      <w:pPr>
        <w:spacing w:after="0" w:line="225" w:lineRule="exact"/>
        <w:rPr>
          <w:sz w:val="20"/>
          <w:szCs w:val="20"/>
          <w:color w:val="auto"/>
        </w:rPr>
      </w:pPr>
    </w:p>
    <w:p>
      <w:pPr>
        <w:ind w:right="220" w:firstLine="656"/>
        <w:spacing w:after="0" w:line="282" w:lineRule="auto"/>
        <w:tabs>
          <w:tab w:leader="none" w:pos="132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 to attract and retain the best available personnel, to provide additional incentives to Employees, Directors and Consultants and to promote the success of the Company’s business.</w:t>
      </w:r>
    </w:p>
    <w:p>
      <w:pPr>
        <w:spacing w:after="0" w:line="161" w:lineRule="exact"/>
        <w:rPr>
          <w:rFonts w:ascii="Times New Roman" w:cs="Times New Roman" w:eastAsia="Times New Roman" w:hAnsi="Times New Roman"/>
          <w:sz w:val="18"/>
          <w:szCs w:val="18"/>
          <w:color w:val="auto"/>
        </w:rPr>
      </w:pPr>
    </w:p>
    <w:p>
      <w:pPr>
        <w:jc w:val="both"/>
        <w:ind w:right="100" w:firstLine="656"/>
        <w:spacing w:after="0" w:line="266" w:lineRule="auto"/>
        <w:tabs>
          <w:tab w:leader="none" w:pos="132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definitions shall apply as used herein and in the individual Award Agreements except as defined otherwise in an individual Award Agreement. In the event a term is separately defined in an individual Award Agreement, such definition shall supersede the definition contained in this Section 2.</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the Committees appointed to administer the Plan.</w:t>
      </w:r>
    </w:p>
    <w:p>
      <w:pPr>
        <w:spacing w:after="0" w:line="184"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shall have the respective meanings ascribed to such terms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promulgated under the</w:t>
      </w:r>
    </w:p>
    <w:p>
      <w:pPr>
        <w:spacing w:after="0" w:line="6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w:t>
      </w:r>
    </w:p>
    <w:p>
      <w:pPr>
        <w:spacing w:after="0" w:line="205" w:lineRule="exact"/>
        <w:rPr>
          <w:rFonts w:ascii="Times New Roman" w:cs="Times New Roman" w:eastAsia="Times New Roman" w:hAnsi="Times New Roman"/>
          <w:sz w:val="18"/>
          <w:szCs w:val="18"/>
          <w:color w:val="auto"/>
        </w:rPr>
      </w:pPr>
    </w:p>
    <w:p>
      <w:pPr>
        <w:ind w:right="340" w:firstLine="1304"/>
        <w:spacing w:after="0" w:line="266" w:lineRule="auto"/>
        <w:tabs>
          <w:tab w:leader="none" w:pos="1946"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requirements relating to the Plan and the Awards under applicable provisions of federal securities laws, state corporate and securities laws, the Code, the rules of any applicable stock exchange or national market system, and the rules of any non-U.S. jurisdiction applicable to Awards granted to residents therein.</w:t>
      </w:r>
    </w:p>
    <w:p>
      <w:pPr>
        <w:spacing w:after="0" w:line="175" w:lineRule="exact"/>
        <w:rPr>
          <w:rFonts w:ascii="Times New Roman" w:cs="Times New Roman" w:eastAsia="Times New Roman" w:hAnsi="Times New Roman"/>
          <w:sz w:val="18"/>
          <w:szCs w:val="18"/>
          <w:color w:val="auto"/>
        </w:rPr>
      </w:pPr>
    </w:p>
    <w:p>
      <w:pPr>
        <w:ind w:right="40" w:firstLine="1304"/>
        <w:spacing w:after="0" w:line="258" w:lineRule="auto"/>
        <w:tabs>
          <w:tab w:leader="none" w:pos="1956"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w:t>
      </w:r>
      <w:r>
        <w:rPr>
          <w:rFonts w:ascii="Times New Roman" w:cs="Times New Roman" w:eastAsia="Times New Roman" w:hAnsi="Times New Roman"/>
          <w:sz w:val="18"/>
          <w:szCs w:val="18"/>
          <w:color w:val="auto"/>
        </w:rPr>
        <w:t>” 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w:t>
      </w:r>
    </w:p>
    <w:p>
      <w:pPr>
        <w:spacing w:after="0" w:line="183" w:lineRule="exact"/>
        <w:rPr>
          <w:rFonts w:ascii="Times New Roman" w:cs="Times New Roman" w:eastAsia="Times New Roman" w:hAnsi="Times New Roman"/>
          <w:sz w:val="18"/>
          <w:szCs w:val="18"/>
          <w:color w:val="auto"/>
        </w:rPr>
      </w:pPr>
    </w:p>
    <w:p>
      <w:pPr>
        <w:ind w:right="180" w:firstLine="1304"/>
        <w:spacing w:after="0" w:line="282" w:lineRule="auto"/>
        <w:tabs>
          <w:tab w:leader="none" w:pos="1946"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the grant of an Option, SAR, Dividend Equivalent Right, Restricted Stock, Restricted Stock Unit, Cash-Based Award or other right or benefit under the Plan.</w:t>
      </w:r>
    </w:p>
    <w:p>
      <w:pPr>
        <w:spacing w:after="0" w:line="161" w:lineRule="exact"/>
        <w:rPr>
          <w:rFonts w:ascii="Times New Roman" w:cs="Times New Roman" w:eastAsia="Times New Roman" w:hAnsi="Times New Roman"/>
          <w:sz w:val="18"/>
          <w:szCs w:val="18"/>
          <w:color w:val="auto"/>
        </w:rPr>
      </w:pPr>
    </w:p>
    <w:p>
      <w:pPr>
        <w:ind w:right="80" w:firstLine="1304"/>
        <w:spacing w:after="0" w:line="282" w:lineRule="auto"/>
        <w:tabs>
          <w:tab w:leader="none" w:pos="1971"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agreement evidencing the grant of an Award executed by the Company and the Grantee, including any amendments thereto.</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right="200" w:firstLine="1304"/>
        <w:spacing w:after="0" w:line="282" w:lineRule="auto"/>
        <w:tabs>
          <w:tab w:leader="none" w:pos="1956"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Cash-Based Award</w:t>
      </w:r>
      <w:r>
        <w:rPr>
          <w:rFonts w:ascii="Times New Roman" w:cs="Times New Roman" w:eastAsia="Times New Roman" w:hAnsi="Times New Roman"/>
          <w:sz w:val="18"/>
          <w:szCs w:val="18"/>
          <w:color w:val="auto"/>
        </w:rPr>
        <w:t>” means an award denominated in cash that may be settled in cash and/or Shares, which may be subject to restrictions, as established by the Administrator.</w:t>
      </w:r>
    </w:p>
    <w:p>
      <w:pPr>
        <w:spacing w:after="0" w:line="161" w:lineRule="exact"/>
        <w:rPr>
          <w:rFonts w:ascii="Times New Roman" w:cs="Times New Roman" w:eastAsia="Times New Roman" w:hAnsi="Times New Roman"/>
          <w:sz w:val="18"/>
          <w:szCs w:val="18"/>
          <w:color w:val="auto"/>
        </w:rPr>
      </w:pPr>
    </w:p>
    <w:p>
      <w:pPr>
        <w:ind w:right="40" w:firstLine="1304"/>
        <w:spacing w:after="0" w:line="270" w:lineRule="auto"/>
        <w:tabs>
          <w:tab w:leader="none" w:pos="1961"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means, with respect to the termination by the Company or a Related Entity of the Grantee’s Continuous Service, that such termination is for “Cause” as such term (or word of like import) is expressly defined in a then-effective written agreement between the Grantee and the Company or such Related Entity, or in the absence of such then-effective written agreement and definition, is based on, in the determination of the Administrator, the Grantee’s: (A) performance of any act or failure to perform any act in bad faith and to the detriment of the Company or a Related Entity;</w:t>
      </w:r>
    </w:p>
    <w:p>
      <w:pPr>
        <w:spacing w:after="0" w:line="2" w:lineRule="exact"/>
        <w:rPr>
          <w:rFonts w:ascii="Times New Roman" w:cs="Times New Roman" w:eastAsia="Times New Roman" w:hAnsi="Times New Roman"/>
          <w:sz w:val="17"/>
          <w:szCs w:val="17"/>
          <w:color w:val="auto"/>
        </w:rPr>
      </w:pPr>
    </w:p>
    <w:p>
      <w:pPr>
        <w:ind w:right="80" w:firstLine="8"/>
        <w:spacing w:after="0" w:line="260" w:lineRule="auto"/>
        <w:tabs>
          <w:tab w:leader="none" w:pos="2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dishonesty, intentional misconduct or material breach of any agreement with the Company or a Related Entity; or (C) commission of a crime involving dishonesty, breach of trust, or physical or emotional harm to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change in ownership or control of the Company effected through either of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w:t>
      </w:r>
    </w:p>
    <w:p>
      <w:pPr>
        <w:spacing w:after="0" w:line="207" w:lineRule="exact"/>
        <w:rPr>
          <w:sz w:val="20"/>
          <w:szCs w:val="20"/>
          <w:color w:val="auto"/>
        </w:rPr>
      </w:pPr>
    </w:p>
    <w:p>
      <w:pPr>
        <w:ind w:right="400" w:firstLine="1952"/>
        <w:spacing w:after="0" w:line="219" w:lineRule="exact"/>
        <w:tabs>
          <w:tab w:leader="none" w:pos="229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of the Exchange Act) of securities possessing more than fifty percent (50%) of the total combined voting power of the Company’s outstanding securities pursuant to a tender or exchange offer made directly to the Company’s stockholders which a majority of the Continuing Directors who are not Affiliates or Associates of the offeror do not recommend such stockholders accept, or</w:t>
      </w:r>
    </w:p>
    <w:p>
      <w:pPr>
        <w:spacing w:after="0" w:line="202" w:lineRule="exact"/>
        <w:rPr>
          <w:rFonts w:ascii="Times New Roman" w:cs="Times New Roman" w:eastAsia="Times New Roman" w:hAnsi="Times New Roman"/>
          <w:sz w:val="18"/>
          <w:szCs w:val="18"/>
          <w:color w:val="auto"/>
        </w:rPr>
      </w:pPr>
    </w:p>
    <w:p>
      <w:pPr>
        <w:ind w:right="320" w:firstLine="1952"/>
        <w:spacing w:after="0" w:line="266" w:lineRule="auto"/>
        <w:tabs>
          <w:tab w:leader="none" w:pos="234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twelve (12) months or less such that a majority of the Board members (rounded up to the next whole number) ceases, by reason of one or more contested elections for Board membership, to be comprised of individuals who are Continuing Directors.</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color w:val="auto"/>
        </w:rPr>
      </w:pPr>
    </w:p>
    <w:p>
      <w:pPr>
        <w:ind w:left="1980" w:hanging="622"/>
        <w:spacing w:after="0"/>
        <w:tabs>
          <w:tab w:leader="none" w:pos="1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any committee composed of members of the Board appointed by the Board to administer the Plan.</w:t>
      </w:r>
    </w:p>
    <w:p>
      <w:pPr>
        <w:spacing w:after="0" w:line="225" w:lineRule="exact"/>
        <w:rPr>
          <w:sz w:val="20"/>
          <w:szCs w:val="20"/>
          <w:color w:val="auto"/>
        </w:rPr>
      </w:pPr>
    </w:p>
    <w:p>
      <w:pPr>
        <w:ind w:left="1960" w:hanging="656"/>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color w:val="auto"/>
        </w:rPr>
      </w:pPr>
    </w:p>
    <w:p>
      <w:pPr>
        <w:ind w:right="40" w:firstLine="1304"/>
        <w:spacing w:after="0" w:line="282" w:lineRule="auto"/>
        <w:tabs>
          <w:tab w:leader="none" w:pos="1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Filana Therapeutics, Inc., a Delaware corporation, or any successor entity that adopts the Plan in connection with a Corporate Transaction.</w:t>
      </w:r>
    </w:p>
    <w:p>
      <w:pPr>
        <w:spacing w:after="0" w:line="161" w:lineRule="exact"/>
        <w:rPr>
          <w:rFonts w:ascii="Times New Roman" w:cs="Times New Roman" w:eastAsia="Times New Roman" w:hAnsi="Times New Roman"/>
          <w:sz w:val="18"/>
          <w:szCs w:val="18"/>
          <w:color w:val="auto"/>
        </w:rPr>
      </w:pPr>
    </w:p>
    <w:p>
      <w:pPr>
        <w:ind w:firstLine="1304"/>
        <w:spacing w:after="0" w:line="266" w:lineRule="auto"/>
        <w:tabs>
          <w:tab w:leader="none" w:pos="1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75" w:lineRule="exact"/>
        <w:rPr>
          <w:rFonts w:ascii="Times New Roman" w:cs="Times New Roman" w:eastAsia="Times New Roman" w:hAnsi="Times New Roman"/>
          <w:sz w:val="18"/>
          <w:szCs w:val="18"/>
          <w:color w:val="auto"/>
        </w:rPr>
      </w:pPr>
    </w:p>
    <w:p>
      <w:pPr>
        <w:jc w:val="both"/>
        <w:ind w:right="120" w:firstLine="1304"/>
        <w:spacing w:after="0" w:line="261" w:lineRule="auto"/>
        <w:tabs>
          <w:tab w:leader="none" w:pos="19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members of the Board who either (i) have been Board members continuously for a period of at least twelve (12) months or (ii) have been Board members for less than twelve (12) months and were elected or nominated for election as Board members by at least a majority of the Board members described in clause (i) who were still in office at the time such election or nomination was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5" w:name="page6"/>
    <w:bookmarkEnd w:id="5"/>
    <w:p>
      <w:pPr>
        <w:ind w:right="20" w:firstLine="1304"/>
        <w:spacing w:after="0" w:line="268" w:lineRule="auto"/>
        <w:tabs>
          <w:tab w:leader="none" w:pos="1956"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Continuous Service</w:t>
      </w:r>
      <w:r>
        <w:rPr>
          <w:rFonts w:ascii="Times New Roman" w:cs="Times New Roman" w:eastAsia="Times New Roman" w:hAnsi="Times New Roman"/>
          <w:sz w:val="17"/>
          <w:szCs w:val="17"/>
          <w:color w:val="auto"/>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 (ii) transfers among the Company, any Related Entity, or any successor, in any capacity of Employee, Director or Consultant, or</w:t>
      </w:r>
    </w:p>
    <w:p>
      <w:pPr>
        <w:spacing w:after="0" w:line="2"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status as long as the individual remains in the service of the Company or a Related Entity in any capacity of Employee, Director or</w:t>
      </w:r>
    </w:p>
    <w:p>
      <w:pPr>
        <w:spacing w:after="0" w:line="9" w:lineRule="exact"/>
        <w:rPr>
          <w:rFonts w:ascii="Times New Roman" w:cs="Times New Roman" w:eastAsia="Times New Roman" w:hAnsi="Times New Roman"/>
          <w:sz w:val="18"/>
          <w:szCs w:val="18"/>
          <w:color w:val="auto"/>
        </w:rPr>
      </w:pPr>
    </w:p>
    <w:p>
      <w:pPr>
        <w:ind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(except as otherwise provided in the Award Agreement). Notwithstanding the foregoing, except as otherwise determined by the Administrator, in the event of any spin-off of a Related Entity, service as an Employee, Director or Consultant for such Related Entity following such spin-off shall be deemed to be Continuous Service for purposes of the Plan and any Award under the Plan. An approved leave of absence shall include sick leave, military leave, or any other authorized personal leave. For purposes of each Incentive Stock Option granted under the Plan, if such leave exceeds three (3) months, and reemployment upon expiration of such leave is not guaranteed by statute or contract, then the Incentive Stock Option shall be treated as a Non-Qualified Stock Option on the day three (3) months and one (1) day following the expiration of such three (3) month period.</w:t>
      </w:r>
    </w:p>
    <w:p>
      <w:pPr>
        <w:spacing w:after="0" w:line="189" w:lineRule="exact"/>
        <w:rPr>
          <w:rFonts w:ascii="Times New Roman" w:cs="Times New Roman" w:eastAsia="Times New Roman" w:hAnsi="Times New Roman"/>
          <w:sz w:val="18"/>
          <w:szCs w:val="18"/>
          <w:color w:val="auto"/>
        </w:rPr>
      </w:pPr>
    </w:p>
    <w:p>
      <w:pPr>
        <w:ind w:right="300" w:firstLine="1304"/>
        <w:spacing w:after="0" w:line="282" w:lineRule="auto"/>
        <w:tabs>
          <w:tab w:leader="none" w:pos="19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means any of the following transactions, provided, however, that the Administrator shall determine under parts (iv) and (v) whether multiple transactions are related, and its determination shall be final, binding and conclusive:</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9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the Company is not the surviving entity, except for a transaction the principal purpose of which is to change the state in which the Company is incorporated;</w:t>
      </w:r>
    </w:p>
    <w:p>
      <w:pPr>
        <w:spacing w:after="0" w:line="161"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assets of the Company;</w:t>
      </w:r>
    </w:p>
    <w:p>
      <w:pPr>
        <w:spacing w:after="0" w:line="2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or dissolution of the Company;</w:t>
      </w:r>
    </w:p>
    <w:p>
      <w:pPr>
        <w:spacing w:after="0" w:line="225" w:lineRule="exact"/>
        <w:rPr>
          <w:rFonts w:ascii="Times New Roman" w:cs="Times New Roman" w:eastAsia="Times New Roman" w:hAnsi="Times New Roman"/>
          <w:sz w:val="18"/>
          <w:szCs w:val="18"/>
          <w:color w:val="auto"/>
        </w:rPr>
      </w:pPr>
    </w:p>
    <w:p>
      <w:pPr>
        <w:ind w:right="60" w:firstLine="1952"/>
        <w:spacing w:after="0" w:line="256" w:lineRule="auto"/>
        <w:tabs>
          <w:tab w:leader="none" w:pos="238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reverse merger or series of related transactions culminating in a reverse merger (including, but not limited to, a tender offer followed by a reverse merger) in which the Company is the surviving entity but (A) the shares of Common Stock outstanding immediately prior to such merger are converted or exchanged by virtue of the merger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merger or the initial transaction culminating in such merger, but excluding any such transaction or series of related transactions that the Administrator determines shall not be a Corporate Transaction;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 w:name="page7"/>
    <w:bookmarkEnd w:id="6"/>
    <w:p>
      <w:pPr>
        <w:ind w:left="-1120" w:firstLine="1952"/>
        <w:spacing w:after="0" w:line="261" w:lineRule="auto"/>
        <w:tabs>
          <w:tab w:leader="none" w:pos="121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Administrator determines shall not be a Corporate Transaction.</w:t>
      </w:r>
    </w:p>
    <w:p>
      <w:pPr>
        <w:spacing w:after="0" w:line="179" w:lineRule="exact"/>
        <w:rPr>
          <w:rFonts w:ascii="Times New Roman" w:cs="Times New Roman" w:eastAsia="Times New Roman" w:hAnsi="Times New Roman"/>
          <w:sz w:val="18"/>
          <w:szCs w:val="18"/>
          <w:color w:val="auto"/>
        </w:rPr>
      </w:pPr>
    </w:p>
    <w:p>
      <w:pPr>
        <w:ind w:left="840" w:hanging="602"/>
        <w:spacing w:after="0"/>
        <w:tabs>
          <w:tab w:leader="none" w:pos="8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Employee</w:t>
      </w:r>
      <w:r>
        <w:rPr>
          <w:rFonts w:ascii="Times New Roman" w:cs="Times New Roman" w:eastAsia="Times New Roman" w:hAnsi="Times New Roman"/>
          <w:sz w:val="18"/>
          <w:szCs w:val="18"/>
          <w:color w:val="auto"/>
        </w:rPr>
        <w:t>” means an Employee who is a “covered employee” under Section 162(m)(3) of the Code.</w:t>
      </w:r>
    </w:p>
    <w:p>
      <w:pPr>
        <w:spacing w:after="0" w:line="22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 or the board of directors of any Related Entity.</w:t>
      </w:r>
    </w:p>
    <w:p>
      <w:pPr>
        <w:spacing w:after="0" w:line="225" w:lineRule="exact"/>
        <w:rPr>
          <w:rFonts w:ascii="Times New Roman" w:cs="Times New Roman" w:eastAsia="Times New Roman" w:hAnsi="Times New Roman"/>
          <w:sz w:val="18"/>
          <w:szCs w:val="18"/>
          <w:color w:val="auto"/>
        </w:rPr>
      </w:pPr>
    </w:p>
    <w:p>
      <w:pPr>
        <w:ind w:left="-1120" w:firstLine="1304"/>
        <w:spacing w:after="0" w:line="256" w:lineRule="auto"/>
        <w:tabs>
          <w:tab w:leader="none" w:pos="8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as defined under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 (90) consecutive days. A Grantee will not be considered to have incurred a Disability unless he or she furnishes proof of such impairment sufficient to satisfy the Administrator in its discretion.</w:t>
      </w:r>
    </w:p>
    <w:p>
      <w:pPr>
        <w:spacing w:after="0" w:line="187" w:lineRule="exact"/>
        <w:rPr>
          <w:rFonts w:ascii="Times New Roman" w:cs="Times New Roman" w:eastAsia="Times New Roman" w:hAnsi="Times New Roman"/>
          <w:sz w:val="18"/>
          <w:szCs w:val="18"/>
          <w:color w:val="auto"/>
        </w:rPr>
      </w:pPr>
    </w:p>
    <w:p>
      <w:pPr>
        <w:ind w:left="-1120" w:right="220" w:firstLine="1304"/>
        <w:spacing w:after="0" w:line="266" w:lineRule="auto"/>
        <w:tabs>
          <w:tab w:leader="none" w:pos="8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Equivalent Right</w:t>
      </w:r>
      <w:r>
        <w:rPr>
          <w:rFonts w:ascii="Times New Roman" w:cs="Times New Roman" w:eastAsia="Times New Roman" w:hAnsi="Times New Roman"/>
          <w:sz w:val="18"/>
          <w:szCs w:val="18"/>
          <w:color w:val="auto"/>
        </w:rPr>
        <w:t>” means a right entitling the Grantee to compensation measured by dividends paid with respect to Common Stock, provided that no such right may be granted with respect to Options or SARs. Dividend Equivalent Rights granted in connection with a Restricted Stock Unit that vests based on the attainment of performance criteria shall be subject to the vesting of the underlying Restricted Stock Unit.</w:t>
      </w:r>
    </w:p>
    <w:p>
      <w:pPr>
        <w:spacing w:after="0" w:line="175" w:lineRule="exact"/>
        <w:rPr>
          <w:rFonts w:ascii="Times New Roman" w:cs="Times New Roman" w:eastAsia="Times New Roman" w:hAnsi="Times New Roman"/>
          <w:sz w:val="18"/>
          <w:szCs w:val="18"/>
          <w:color w:val="auto"/>
        </w:rPr>
      </w:pPr>
    </w:p>
    <w:p>
      <w:pPr>
        <w:ind w:left="-1120" w:right="60" w:firstLine="1304"/>
        <w:spacing w:after="0" w:line="266" w:lineRule="auto"/>
        <w:tabs>
          <w:tab w:leader="none" w:pos="8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17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25" w:lineRule="exact"/>
        <w:rPr>
          <w:rFonts w:ascii="Times New Roman" w:cs="Times New Roman" w:eastAsia="Times New Roman" w:hAnsi="Times New Roman"/>
          <w:sz w:val="18"/>
          <w:szCs w:val="18"/>
          <w:color w:val="auto"/>
        </w:rPr>
      </w:pPr>
    </w:p>
    <w:p>
      <w:pPr>
        <w:ind w:left="-1120" w:right="40" w:firstLine="1952"/>
        <w:spacing w:after="0" w:line="258" w:lineRule="auto"/>
        <w:tabs>
          <w:tab w:leader="none" w:pos="117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listed on one or more established stock exchanges or national market systems, including without limitation, the NASDAQ Global Select Market,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351155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7" w:name="page8"/>
    <w:bookmarkEnd w:id="7"/>
    <w:p>
      <w:pPr>
        <w:jc w:val="both"/>
        <w:ind w:right="80" w:firstLine="1952"/>
        <w:spacing w:after="0" w:line="258" w:lineRule="auto"/>
        <w:tabs>
          <w:tab w:leader="none" w:pos="234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183" w:lineRule="exact"/>
        <w:rPr>
          <w:rFonts w:ascii="Times New Roman" w:cs="Times New Roman" w:eastAsia="Times New Roman" w:hAnsi="Times New Roman"/>
          <w:sz w:val="18"/>
          <w:szCs w:val="18"/>
          <w:color w:val="auto"/>
        </w:rPr>
      </w:pPr>
    </w:p>
    <w:p>
      <w:pPr>
        <w:ind w:right="60" w:firstLine="1952"/>
        <w:spacing w:after="0" w:line="282" w:lineRule="auto"/>
        <w:tabs>
          <w:tab w:leader="none" w:pos="23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of the type described in (i) and (ii), above, the Fair Market Value thereof shall be determined by the Administrator in good faith.</w:t>
      </w:r>
    </w:p>
    <w:p>
      <w:pPr>
        <w:spacing w:after="0" w:line="161" w:lineRule="exact"/>
        <w:rPr>
          <w:rFonts w:ascii="Times New Roman" w:cs="Times New Roman" w:eastAsia="Times New Roman" w:hAnsi="Times New Roman"/>
          <w:sz w:val="18"/>
          <w:szCs w:val="18"/>
          <w:color w:val="auto"/>
        </w:rPr>
      </w:pPr>
    </w:p>
    <w:p>
      <w:pPr>
        <w:ind w:firstLine="1304"/>
        <w:spacing w:after="0" w:line="258" w:lineRule="auto"/>
        <w:tabs>
          <w:tab w:leader="none" w:pos="19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with respect to the termination by the Grantee of the Grantee’s Continuous Service, that such termination is for “Good Reason” as such term (or word of like import) is expressly defined in a then-effective written agreement between the Grantee and the Company or a Related Entity, or in the absence of such then-effective written agreement and definition, means any of the following events or conditions unless consented to by the Grantee (and the Grantee shall be deemed to have consented to any such event or condition unless the Grantee provides written notice of the Grantee’s non-acquiescence within 30 days of the effective time of such event or condition):</w:t>
      </w:r>
    </w:p>
    <w:p>
      <w:pPr>
        <w:spacing w:after="0" w:line="183"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Grantee’s responsibilities or duties which represents a material and substantial diminution in the Grantee’s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responsibilities or duties;</w:t>
      </w:r>
    </w:p>
    <w:p>
      <w:pPr>
        <w:spacing w:after="0" w:line="206" w:lineRule="exact"/>
        <w:rPr>
          <w:rFonts w:ascii="Times New Roman" w:cs="Times New Roman" w:eastAsia="Times New Roman" w:hAnsi="Times New Roman"/>
          <w:sz w:val="18"/>
          <w:szCs w:val="18"/>
          <w:color w:val="auto"/>
        </w:rPr>
      </w:pPr>
    </w:p>
    <w:p>
      <w:pPr>
        <w:ind w:right="540" w:firstLine="1952"/>
        <w:spacing w:after="0" w:line="282" w:lineRule="auto"/>
        <w:tabs>
          <w:tab w:leader="none" w:pos="23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Grantee’s base salary; provided that an across-the-board reduction in the salary level of substantially all other individuals in positions similar to the Grantee’s by the same percentage amount shall not constitute such a salary reduction; or</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3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Grantee to be based at any place outside a 50 mile radius from the Grantee’s job location or residence except for reasonably required travel on business.</w:t>
      </w:r>
    </w:p>
    <w:p>
      <w:pPr>
        <w:spacing w:after="0" w:line="162" w:lineRule="exact"/>
        <w:rPr>
          <w:sz w:val="20"/>
          <w:szCs w:val="20"/>
          <w:color w:val="auto"/>
        </w:rPr>
      </w:pPr>
    </w:p>
    <w:p>
      <w:pPr>
        <w:ind w:left="1940" w:hanging="636"/>
        <w:spacing w:after="0"/>
        <w:tabs>
          <w:tab w:leader="none" w:pos="19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means an Employee, Director or Consultant who receives an Award under the Plan.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Incentive Stock Option</w:t>
      </w:r>
      <w:r>
        <w:rPr>
          <w:rFonts w:ascii="Times New Roman" w:cs="Times New Roman" w:eastAsia="Times New Roman" w:hAnsi="Times New Roman"/>
          <w:sz w:val="17"/>
          <w:szCs w:val="17"/>
          <w:color w:val="auto"/>
        </w:rPr>
        <w:t>” means an Option intended to qualify as an incentive stock option within the meaning of Section 422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Code.</w:t>
      </w:r>
    </w:p>
    <w:p>
      <w:pPr>
        <w:spacing w:after="0" w:line="207" w:lineRule="exact"/>
        <w:rPr>
          <w:sz w:val="20"/>
          <w:szCs w:val="20"/>
          <w:color w:val="auto"/>
        </w:rPr>
      </w:pPr>
    </w:p>
    <w:p>
      <w:pPr>
        <w:ind w:left="1980" w:hanging="676"/>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means an Option not intended to qualify as an 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 w:name="page9"/>
    <w:bookmarkEnd w:id="8"/>
    <w:p>
      <w:pPr>
        <w:ind w:right="600" w:firstLine="1304"/>
        <w:spacing w:after="0" w:line="282" w:lineRule="auto"/>
        <w:tabs>
          <w:tab w:leader="none" w:pos="19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or a Related Entity within the meaning of Section 16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option to purchase Shares pursuant to an Award Agreement granted under the Plan.</w:t>
      </w:r>
    </w:p>
    <w:p>
      <w:pPr>
        <w:spacing w:after="0" w:line="225" w:lineRule="exact"/>
        <w:rPr>
          <w:rFonts w:ascii="Times New Roman" w:cs="Times New Roman" w:eastAsia="Times New Roman" w:hAnsi="Times New Roman"/>
          <w:sz w:val="18"/>
          <w:szCs w:val="18"/>
          <w:color w:val="auto"/>
        </w:rPr>
      </w:pPr>
    </w:p>
    <w:p>
      <w:pPr>
        <w:ind w:left="1960" w:hanging="602"/>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Performance-Based Compensation</w:t>
      </w:r>
      <w:r>
        <w:rPr>
          <w:rFonts w:ascii="Times New Roman" w:cs="Times New Roman" w:eastAsia="Times New Roman" w:hAnsi="Times New Roman"/>
          <w:sz w:val="18"/>
          <w:szCs w:val="18"/>
          <w:color w:val="auto"/>
        </w:rPr>
        <w:t>” means compensation qualifying as “performance-based compensation” under Section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162(m) of the Code.</w:t>
      </w:r>
    </w:p>
    <w:p>
      <w:pPr>
        <w:spacing w:after="0" w:line="206" w:lineRule="exact"/>
        <w:rPr>
          <w:rFonts w:ascii="Times New Roman" w:cs="Times New Roman" w:eastAsia="Times New Roman" w:hAnsi="Times New Roman"/>
          <w:sz w:val="18"/>
          <w:szCs w:val="18"/>
          <w:color w:val="auto"/>
        </w:rPr>
      </w:pPr>
    </w:p>
    <w:p>
      <w:pPr>
        <w:ind w:right="380" w:firstLine="1304"/>
        <w:spacing w:after="0" w:line="282" w:lineRule="auto"/>
        <w:tabs>
          <w:tab w:leader="none" w:pos="195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the period of time during which the performance goals must be met in order to determine the degree of payout and/or vesting with respect to, or the amount or entitlement to, an Award.</w:t>
      </w:r>
    </w:p>
    <w:p>
      <w:pPr>
        <w:spacing w:after="0" w:line="162" w:lineRule="exact"/>
        <w:rPr>
          <w:sz w:val="20"/>
          <w:szCs w:val="20"/>
          <w:color w:val="auto"/>
        </w:rPr>
      </w:pPr>
    </w:p>
    <w:p>
      <w:pPr>
        <w:ind w:left="1980" w:hanging="676"/>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2018 Omnibus Incentive Plan, as may be amended from time to time.</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Entity</w:t>
      </w:r>
      <w:r>
        <w:rPr>
          <w:rFonts w:ascii="Times New Roman" w:cs="Times New Roman" w:eastAsia="Times New Roman" w:hAnsi="Times New Roman"/>
          <w:sz w:val="18"/>
          <w:szCs w:val="18"/>
          <w:color w:val="auto"/>
        </w:rPr>
        <w:t>” means any Parent or Subsidiary of the Company.</w:t>
      </w:r>
    </w:p>
    <w:p>
      <w:pPr>
        <w:spacing w:after="0" w:line="225" w:lineRule="exact"/>
        <w:rPr>
          <w:rFonts w:ascii="Times New Roman" w:cs="Times New Roman" w:eastAsia="Times New Roman" w:hAnsi="Times New Roman"/>
          <w:sz w:val="18"/>
          <w:szCs w:val="18"/>
          <w:color w:val="auto"/>
        </w:rPr>
      </w:pPr>
    </w:p>
    <w:p>
      <w:pPr>
        <w:ind w:firstLine="1304"/>
        <w:spacing w:after="0" w:line="258" w:lineRule="auto"/>
        <w:tabs>
          <w:tab w:leader="none" w:pos="19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Replaced</w:t>
      </w:r>
      <w:r>
        <w:rPr>
          <w:rFonts w:ascii="Times New Roman" w:cs="Times New Roman" w:eastAsia="Times New Roman" w:hAnsi="Times New Roman"/>
          <w:sz w:val="18"/>
          <w:szCs w:val="18"/>
          <w:color w:val="auto"/>
        </w:rPr>
        <w:t>” means that pursuant to a Corporate Transaction the Award is replaced with a comparable stock award or a cash incentive award or program of the Company, the successor entity (if applicable) or Parent of either of them which preserves the compensation element of such Award existing at the time of the Corporate Transaction and provides for subsequent payout in accordance with the same (or, for the Grantee, a more favorable) vesting schedule applicable to such Award. The determination of Award comparability shall be made by the Administrator and its determination shall be final, binding and conclusive.</w:t>
      </w:r>
    </w:p>
    <w:p>
      <w:pPr>
        <w:spacing w:after="0" w:line="183" w:lineRule="exact"/>
        <w:rPr>
          <w:rFonts w:ascii="Times New Roman" w:cs="Times New Roman" w:eastAsia="Times New Roman" w:hAnsi="Times New Roman"/>
          <w:sz w:val="18"/>
          <w:szCs w:val="18"/>
          <w:color w:val="auto"/>
        </w:rPr>
      </w:pPr>
    </w:p>
    <w:p>
      <w:pPr>
        <w:ind w:right="60" w:firstLine="1304"/>
        <w:spacing w:after="0" w:line="261" w:lineRule="auto"/>
        <w:tabs>
          <w:tab w:leader="none" w:pos="19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under the Plan to the Grantee for such consideration, if any, and subject to such restrictions on transfer, rights of first refusal, repurchase provisions and forfeiture provisions, if any, and other terms and conditions as established by the Administrator. Dividends payable in connection with a Restricted Stock Award that vests upon the attainment of performance criteria shall be held subject to the vesting of the underlying Share of Restricted Stock.</w:t>
      </w:r>
    </w:p>
    <w:p>
      <w:pPr>
        <w:spacing w:after="0" w:line="179" w:lineRule="exact"/>
        <w:rPr>
          <w:rFonts w:ascii="Times New Roman" w:cs="Times New Roman" w:eastAsia="Times New Roman" w:hAnsi="Times New Roman"/>
          <w:sz w:val="18"/>
          <w:szCs w:val="18"/>
          <w:color w:val="auto"/>
        </w:rPr>
      </w:pPr>
    </w:p>
    <w:p>
      <w:pPr>
        <w:ind w:right="120" w:firstLine="1304"/>
        <w:spacing w:after="0" w:line="266" w:lineRule="auto"/>
        <w:tabs>
          <w:tab w:leader="none" w:pos="19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means an Award which may be earned based on criteria, if any, established by the Administrator, including being earned in whole or in part upon the passage of time or the attainment of performance criteria established by the Administrator, and which may be settled for cash, Shares or other securities or a combination of cash, Shares or other securities as established by the Administrator.</w:t>
      </w:r>
    </w:p>
    <w:p>
      <w:pPr>
        <w:spacing w:after="0" w:line="13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means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promulgated under the Exchange Act or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9" w:name="page10"/>
    <w:bookmarkEnd w:id="9"/>
    <w:p>
      <w:pPr>
        <w:ind w:left="-656" w:right="960" w:firstLine="1304"/>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 stock appreciation right entitling the Grantee to Shares or cash compensation, as established by the Administrator, measured by appreciation in the value of Common Stock.</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225"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and Cash Subject to the Plan.</w:t>
      </w:r>
    </w:p>
    <w:p>
      <w:pPr>
        <w:spacing w:after="0" w:line="225" w:lineRule="exact"/>
        <w:rPr>
          <w:rFonts w:ascii="Times New Roman" w:cs="Times New Roman" w:eastAsia="Times New Roman" w:hAnsi="Times New Roman"/>
          <w:sz w:val="18"/>
          <w:szCs w:val="18"/>
          <w:color w:val="auto"/>
        </w:rPr>
      </w:pPr>
    </w:p>
    <w:p>
      <w:pPr>
        <w:ind w:left="-656" w:right="20" w:firstLine="1304"/>
        <w:spacing w:after="0" w:line="289" w:lineRule="auto"/>
        <w:tabs>
          <w:tab w:leader="none" w:pos="129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Section 10 below, the maximum aggregate number of Shares which may be issued pursuant to all Awards shall be 9,000,000 Shares. Subject to the provisions of Section 10, below, the maximum aggregate number of Shares that may be issued pursuant to Incentive Stock Options is 5,000,000 Shares. The Shares to be issued pursuant to Awards may be authorized, but unissued, or reacquired Common Stock.</w:t>
      </w:r>
    </w:p>
    <w:p>
      <w:pPr>
        <w:spacing w:after="0" w:line="157" w:lineRule="exact"/>
        <w:rPr>
          <w:rFonts w:ascii="Times New Roman" w:cs="Times New Roman" w:eastAsia="Times New Roman" w:hAnsi="Times New Roman"/>
          <w:sz w:val="17"/>
          <w:szCs w:val="17"/>
          <w:color w:val="auto"/>
        </w:rPr>
      </w:pPr>
    </w:p>
    <w:p>
      <w:pPr>
        <w:ind w:left="-656" w:firstLine="1304"/>
        <w:spacing w:after="0" w:line="254"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covered by an Award (or portion of an Award) which is forfeited, canceled or expires (whether voluntarily or involuntarily) shall not be deemed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except that if unvested Shares are forfeited, or repurchased by the Company at their original purchase price, or at the lower of their original purchase price or their Fair Market Value at the time of repurchase, such Shares shall become available for future grant under the Plan. Any Shares covered by an Award which are surrendered (i) in payment of the Award exercise or purchase price (including pursuant to the “net exercise” of an option pursuant to Section 7(b)(v)) or (ii) in satisfaction of tax withholding obligations incident to the exercise, vesting or settlement of an Award shall be deemed to have been issued for purposes of determining the maximum number of Shares which may be issued pursuant to all Awards under the Plan.</w:t>
      </w:r>
    </w:p>
    <w:p>
      <w:pPr>
        <w:spacing w:after="0" w:line="191"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Administrator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1952"/>
        <w:spacing w:after="0" w:line="219" w:lineRule="exact"/>
        <w:tabs>
          <w:tab w:leader="none" w:pos="1638"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Directors and Officers</w:t>
      </w:r>
      <w:r>
        <w:rPr>
          <w:rFonts w:ascii="Times New Roman" w:cs="Times New Roman" w:eastAsia="Times New Roman" w:hAnsi="Times New Roman"/>
          <w:sz w:val="18"/>
          <w:szCs w:val="18"/>
          <w:color w:val="auto"/>
        </w:rPr>
        <w:t>. With respect to grants of Awards to Directors or Employees who are also Officers or Directors of the Company, the Plan shall be administered by (A) the Board or (B) a Committee designated by the Board, which Committee shall be constituted in such a manner as to satisfy the Applicable Laws and to permit such grants and related transactions under the Plan to be exempt from Section 16(b) of the Exchange Act in accordance with Rule 16b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Once appointed, such Committee shall continue to serve in its designated capacity until otherwise directed by the Board. In the case of Awards granted to Directors or Employees who are also Officers or Directors of the Company, references to the “Administrator” or to a “Committee” shall be deemed to be references to such Committee.</w:t>
      </w:r>
    </w:p>
    <w:p>
      <w:pPr>
        <w:spacing w:after="0" w:line="202" w:lineRule="exact"/>
        <w:rPr>
          <w:rFonts w:ascii="Times New Roman" w:cs="Times New Roman" w:eastAsia="Times New Roman" w:hAnsi="Times New Roman"/>
          <w:sz w:val="18"/>
          <w:szCs w:val="18"/>
          <w:color w:val="auto"/>
        </w:rPr>
      </w:pPr>
    </w:p>
    <w:p>
      <w:pPr>
        <w:ind w:left="-656" w:right="100" w:firstLine="1952"/>
        <w:spacing w:after="0" w:line="258" w:lineRule="auto"/>
        <w:tabs>
          <w:tab w:leader="none" w:pos="1688"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Consultants and Other Employees</w:t>
      </w:r>
      <w:r>
        <w:rPr>
          <w:rFonts w:ascii="Times New Roman" w:cs="Times New Roman" w:eastAsia="Times New Roman" w:hAnsi="Times New Roman"/>
          <w:sz w:val="18"/>
          <w:szCs w:val="18"/>
          <w:color w:val="auto"/>
        </w:rPr>
        <w:t>. With respect to grants of Awards to Employees or Consultants who are neither Directors nor Officers of the Company, the Plan shall be administered by (A) the Board or (B) a Committee designated by the Board, which Committee shall be constituted in such a manner as to satisfy the Applicable Laws. Once appointed, such Committee shall continue to serve in its designated capacity until otherwise directed by the Board. The Board may authorize one or more Officers to grant such Awards and may limit such authority as the Board determines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351155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0" w:right="359" w:bottom="1440" w:gutter="0" w:footer="0" w:header="0"/>
        </w:sectPr>
      </w:pPr>
    </w:p>
    <w:bookmarkStart w:id="10" w:name="page11"/>
    <w:bookmarkEnd w:id="10"/>
    <w:p>
      <w:pPr>
        <w:ind w:right="60" w:firstLine="1952"/>
        <w:spacing w:after="0" w:line="258" w:lineRule="auto"/>
        <w:tabs>
          <w:tab w:leader="none" w:pos="23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With Respect to Covered Employees</w:t>
      </w:r>
      <w:r>
        <w:rPr>
          <w:rFonts w:ascii="Times New Roman" w:cs="Times New Roman" w:eastAsia="Times New Roman" w:hAnsi="Times New Roman"/>
          <w:sz w:val="18"/>
          <w:szCs w:val="18"/>
          <w:color w:val="auto"/>
        </w:rPr>
        <w:t>. Notwithstanding the foregoing, it is intended that grants of Awards to any Covered Employee intended to qualify as Performance-Based Compensation shall be made only by a Committee (or subcommittee of a Committee) which is comprised solely of two or more Directors eligible to serve on a committee making Awards qualifying as Performance-Based Compensation. In the case of such Awards granted to Covered Employees, references to the “Administrator” or to a “Committee” shall be deemed to be references to such Committee or subcommittee.</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38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Errors</w:t>
      </w:r>
      <w:r>
        <w:rPr>
          <w:rFonts w:ascii="Times New Roman" w:cs="Times New Roman" w:eastAsia="Times New Roman" w:hAnsi="Times New Roman"/>
          <w:sz w:val="18"/>
          <w:szCs w:val="18"/>
          <w:color w:val="auto"/>
        </w:rPr>
        <w:t>. In the event an Award is granted in a manner inconsistent with the provisions of this subsection (a), such Award shall be presumptively valid as of its grant date to the extent permitted by the Applicable Laws.</w:t>
      </w:r>
    </w:p>
    <w:p>
      <w:pPr>
        <w:spacing w:after="0" w:line="161" w:lineRule="exact"/>
        <w:rPr>
          <w:rFonts w:ascii="Times New Roman" w:cs="Times New Roman" w:eastAsia="Times New Roman" w:hAnsi="Times New Roman"/>
          <w:sz w:val="18"/>
          <w:szCs w:val="18"/>
          <w:color w:val="auto"/>
        </w:rPr>
      </w:pPr>
    </w:p>
    <w:p>
      <w:pPr>
        <w:ind w:right="240" w:firstLine="1304"/>
        <w:spacing w:after="0" w:line="282" w:lineRule="auto"/>
        <w:tabs>
          <w:tab w:leader="none" w:pos="19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Applicable Laws and the provisions of the Plan (including any other powers given to the Administrator hereunder), and except as otherwise provided by the Board, the Administrator shall have the authority, in its discretion:</w:t>
      </w:r>
    </w:p>
    <w:p>
      <w:pPr>
        <w:spacing w:after="0" w:line="161"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Employees, Directors and Consultants to whom Awards may be granted from time to time hereunder;</w:t>
      </w:r>
    </w:p>
    <w:p>
      <w:pPr>
        <w:spacing w:after="0" w:line="22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to what extent Awards are granted hereunder;</w:t>
      </w:r>
    </w:p>
    <w:p>
      <w:pPr>
        <w:spacing w:after="0" w:line="2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or the amount of cash or other consideration to be covered by each Award granted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w:t>
      </w:r>
    </w:p>
    <w:p>
      <w:pPr>
        <w:spacing w:after="0" w:line="206"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2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of any Award granted hereunder;</w:t>
      </w:r>
    </w:p>
    <w:p>
      <w:pPr>
        <w:spacing w:after="0" w:line="225" w:lineRule="exact"/>
        <w:rPr>
          <w:rFonts w:ascii="Times New Roman" w:cs="Times New Roman" w:eastAsia="Times New Roman" w:hAnsi="Times New Roman"/>
          <w:sz w:val="18"/>
          <w:szCs w:val="18"/>
          <w:color w:val="auto"/>
        </w:rPr>
      </w:pPr>
    </w:p>
    <w:p>
      <w:pPr>
        <w:jc w:val="both"/>
        <w:ind w:right="40" w:firstLine="1952"/>
        <w:spacing w:after="0" w:line="258" w:lineRule="auto"/>
        <w:tabs>
          <w:tab w:leader="none" w:pos="238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terms of any outstanding Award granted under the Plan, provided that any amendment that would adversely affect the Grantee’s rights under an outstanding Award shall not be made without the Grantee’s written consent, provided, however, that an amendment or modification that may cause an Incentive Stock Option to become a Non-Qualified Stock Option shall not be treated as adversely affecting the rights of the Grantee, and provided that the Administrator may only amend an Award to accelerate the vesting thereof in connection with a termination of the Grantee’s Continuous Service due to death or Disability, or in connection with a Change in Control or Corporate Transaction.</w:t>
      </w:r>
    </w:p>
    <w:p>
      <w:pPr>
        <w:spacing w:after="0" w:line="183"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and to define terms not otherwise defined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 w:name="page12"/>
    <w:bookmarkEnd w:id="11"/>
    <w:p>
      <w:pPr>
        <w:ind w:right="220" w:firstLine="1952"/>
        <w:spacing w:after="0" w:line="282" w:lineRule="auto"/>
        <w:tabs>
          <w:tab w:leader="none" w:pos="24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including without limitation, any notice of award or Award Agreement, granted pursuant to the Plan;</w:t>
      </w:r>
    </w:p>
    <w:p>
      <w:pPr>
        <w:spacing w:after="0" w:line="161"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corrections in the documentation or administration of any Award;</w:t>
      </w:r>
    </w:p>
    <w:p>
      <w:pPr>
        <w:spacing w:after="0" w:line="225" w:lineRule="exact"/>
        <w:rPr>
          <w:rFonts w:ascii="Times New Roman" w:cs="Times New Roman" w:eastAsia="Times New Roman" w:hAnsi="Times New Roman"/>
          <w:sz w:val="18"/>
          <w:szCs w:val="18"/>
          <w:color w:val="auto"/>
        </w:rPr>
      </w:pPr>
    </w:p>
    <w:p>
      <w:pPr>
        <w:ind w:right="120" w:firstLine="1952"/>
        <w:spacing w:after="0" w:line="266" w:lineRule="auto"/>
        <w:tabs>
          <w:tab w:leader="none" w:pos="2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Awards to Employees, Directors and Consultants employed outside the United States or to otherwise adopt or administer such procedures or subplans that the Administrator deems appropriate or necessary on such terms and conditions different from those specified in the Plan as may, in the judgment of the Administrator, be necessary or desirable to further the purpose of the Plan; and</w:t>
      </w:r>
    </w:p>
    <w:p>
      <w:pPr>
        <w:spacing w:after="0" w:line="17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such other action, not inconsistent with the terms of the Plan, as the Administrator deems appropriate.</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express grant in the Plan of any specific power to the Administrator shall not be construed as limiting any power or authority of the Administrator; provided that the Administrator may not exercise any right or power reserved to the Board. Any decision made, or action taken, by the Administrator or in connection with the administration of this Plan shall be final, conclusive and binding on all persons having an interest in the Plan.</w:t>
      </w:r>
    </w:p>
    <w:p>
      <w:pPr>
        <w:spacing w:after="0" w:line="176" w:lineRule="exact"/>
        <w:rPr>
          <w:sz w:val="20"/>
          <w:szCs w:val="20"/>
          <w:color w:val="auto"/>
        </w:rPr>
      </w:pPr>
    </w:p>
    <w:p>
      <w:pPr>
        <w:ind w:firstLine="1304"/>
        <w:spacing w:after="0" w:line="253" w:lineRule="auto"/>
        <w:tabs>
          <w:tab w:leader="none" w:pos="19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spacing w:after="0" w:line="194" w:lineRule="exact"/>
        <w:rPr>
          <w:rFonts w:ascii="Times New Roman" w:cs="Times New Roman" w:eastAsia="Times New Roman" w:hAnsi="Times New Roman"/>
          <w:sz w:val="18"/>
          <w:szCs w:val="18"/>
          <w:color w:val="auto"/>
        </w:rPr>
      </w:pPr>
    </w:p>
    <w:p>
      <w:pPr>
        <w:ind w:firstLine="656"/>
        <w:spacing w:after="0" w:line="261" w:lineRule="auto"/>
        <w:tabs>
          <w:tab w:leader="none" w:pos="132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Awards other than Incentive Stock Options may be granted to Employees, Directors and Consultants. Incentive Stock Options may be granted only to Employees of the Company or a Parent or a Subsidiary of the Company. An Employee, Director or Consultant who has been granted an Award may, if otherwise eligible, be granted additional Awards. Awards may be granted to such Employees, Directors or Consultants who are residing in non-U.S. jurisdictions as the Administrator may determine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2" w:name="page13"/>
    <w:bookmarkEnd w:id="12"/>
    <w:p>
      <w:pPr>
        <w:ind w:left="684" w:hanging="684"/>
        <w:spacing w:after="0"/>
        <w:tabs>
          <w:tab w:leader="none" w:pos="6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Awards.</w:t>
      </w:r>
    </w:p>
    <w:p>
      <w:pPr>
        <w:spacing w:after="0" w:line="225" w:lineRule="exact"/>
        <w:rPr>
          <w:rFonts w:ascii="Times New Roman" w:cs="Times New Roman" w:eastAsia="Times New Roman" w:hAnsi="Times New Roman"/>
          <w:sz w:val="18"/>
          <w:szCs w:val="18"/>
          <w:color w:val="auto"/>
        </w:rPr>
      </w:pPr>
    </w:p>
    <w:p>
      <w:pPr>
        <w:ind w:left="-656" w:right="60" w:firstLine="1304"/>
        <w:spacing w:after="0" w:line="256" w:lineRule="auto"/>
        <w:tabs>
          <w:tab w:leader="none" w:pos="128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of Awards</w:t>
      </w:r>
      <w:r>
        <w:rPr>
          <w:rFonts w:ascii="Times New Roman" w:cs="Times New Roman" w:eastAsia="Times New Roman" w:hAnsi="Times New Roman"/>
          <w:sz w:val="18"/>
          <w:szCs w:val="18"/>
          <w:color w:val="auto"/>
        </w:rPr>
        <w:t>. The Administrator is authorized under the Plan to award any type of arrangement to an Employee, Director or Consultant that is not inconsistent with the provisions of the Plan and that by its terms involves or might involve the issuance of (i) Shares, (ii) cash or (iii) an Option, a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sales or bonuses of Restricted Stock, Restricted Stock Units, Cash-Based Awards, or Dividend Equivalent Rights, and an Award may consist of one such security or benefit, or two (2) or more of them in any combination or alternative.</w:t>
      </w:r>
    </w:p>
    <w:p>
      <w:pPr>
        <w:spacing w:after="0" w:line="187" w:lineRule="exact"/>
        <w:rPr>
          <w:rFonts w:ascii="Times New Roman" w:cs="Times New Roman" w:eastAsia="Times New Roman" w:hAnsi="Times New Roman"/>
          <w:sz w:val="18"/>
          <w:szCs w:val="18"/>
          <w:color w:val="auto"/>
        </w:rPr>
      </w:pPr>
    </w:p>
    <w:p>
      <w:pPr>
        <w:ind w:left="-656" w:firstLine="1304"/>
        <w:spacing w:after="0" w:line="253"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Award</w:t>
      </w:r>
      <w:r>
        <w:rPr>
          <w:rFonts w:ascii="Times New Roman" w:cs="Times New Roman" w:eastAsia="Times New Roman" w:hAnsi="Times New Roman"/>
          <w:sz w:val="18"/>
          <w:szCs w:val="18"/>
          <w:color w:val="auto"/>
        </w:rPr>
        <w:t>. Each Award shall be designated in the Award Agreement. In the case of an Option, the Option shall be designated as either an Incentive Stock Option or a Non-Qualified Stock Option. However, notwithstanding such designation, an Option will qualify as an Incentive Stock Option under the Code only to the extent the $100,000 limitation of Section 422(d) of the Code is not exceeded. The $100,000 limitation of Section 422(d) of the Code is calculated based on the aggregate Fair Market Value of the Shares subject to Options designated as Incentive Stock Options which become exercisable for the first time by a Grantee during any calendar year (under all plans of the Company or any Parent or Subsidiary of the Company). For purposes of this calculation, Incentive Stock Options shall be taken into account in the order in which they were granted, and the Fair Market Value of the Shares shall be determined as of the grant date of the relevant Option. In the event that the Code or the regulations promulgated thereunder are amended after the date the Plan becomes effective to provide for a different limit on the Fair Market Value of Shares permitted to be subject to Incentive Stock Options, then such different limit will be automatically incorporated herein and will apply to any Options granted after the effective date of such amendment.</w:t>
      </w:r>
    </w:p>
    <w:p>
      <w:pPr>
        <w:spacing w:after="0" w:line="194" w:lineRule="exact"/>
        <w:rPr>
          <w:rFonts w:ascii="Times New Roman" w:cs="Times New Roman" w:eastAsia="Times New Roman" w:hAnsi="Times New Roman"/>
          <w:sz w:val="18"/>
          <w:szCs w:val="18"/>
          <w:color w:val="auto"/>
        </w:rPr>
      </w:pPr>
    </w:p>
    <w:p>
      <w:pPr>
        <w:ind w:left="-656" w:right="20" w:firstLine="1304"/>
        <w:spacing w:after="0" w:line="251" w:lineRule="auto"/>
        <w:tabs>
          <w:tab w:leader="none" w:pos="128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Award</w:t>
      </w:r>
      <w:r>
        <w:rPr>
          <w:rFonts w:ascii="Times New Roman" w:cs="Times New Roman" w:eastAsia="Times New Roman" w:hAnsi="Times New Roman"/>
          <w:sz w:val="18"/>
          <w:szCs w:val="18"/>
          <w:color w:val="auto"/>
        </w:rPr>
        <w:t>. Subject to the terms of the Plan,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 The performance criteria established by the Administrator for any Awards intended to be Performance-Based Compensation shall be one of, or combination of, the following: net earnings or net income (before or after taxes); earnings per share; revenues or sales (including net sales or revenue growth); net operating profit; regulatory filings; product approvals; return measures (including return on assets, net assets, capital, invested capital, equity, sales, or revenue); cash flow (including operating cash flow, free cash flow, cash flow return on equity, and cash flow return on investment); earnings before or after taxes, interest, depreciation, and/or amortization; gross or operating margins; productivity ratios; share price (including growth measures and total stockholder return); expense targets; margins; operating efficiency; market share; working capital targets and change in working capital; economic value added or EVA® (net operating profit after tax minus the sum of capital multiplied by the cost of capital); or net operating income. The performance criteria established by the Administrator for any Awards not intended to be Performance-Based Compensation may be based on any one of, or combination of, the foregoing or any other performance criteria established by the Administrator. The performance criteria may be applicable to the Company, Related Entities and/or any individual business units of the Company or any Related Entity and may be measured over any specified period, including but not limited to quarterly, semi-annually, annually or cumulatively over a period of years, on an absolute basis or relative to a pre-established target, to previous years’ results or to a designated comparison group, in each case as specified by the Administrator. Partial achievement of the specified criteria may result in a payment or vesting corresponding to the degree of achievement as specified in the Award Agreement. In addition, to the extent applicable to Awards intended to qualify as Performance-Based Compensation, the performance criteria shall be calculated in accordance with generally accepted accounting principles, but excluding the effect (whether positive or negative) of any change in accounting standards and any item that is either unusual or infrequent in nature, as determined in accordance with Accounting Standards Codification Topic 225-20 “Extraordinary and Unusual Items”, as determined by the Administrator,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365125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0" w:right="359" w:bottom="1440" w:gutter="0" w:footer="0" w:header="0"/>
        </w:sectPr>
      </w:pPr>
    </w:p>
    <w:bookmarkStart w:id="13" w:name="page14"/>
    <w:bookmarkEnd w:id="13"/>
    <w:p>
      <w:pPr>
        <w:ind w:left="-1120" w:right="180" w:firstLine="1304"/>
        <w:spacing w:after="0" w:line="266" w:lineRule="auto"/>
        <w:tabs>
          <w:tab w:leader="none" w:pos="8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 and Other Transactions</w:t>
      </w:r>
      <w:r>
        <w:rPr>
          <w:rFonts w:ascii="Times New Roman" w:cs="Times New Roman" w:eastAsia="Times New Roman" w:hAnsi="Times New Roman"/>
          <w:sz w:val="18"/>
          <w:szCs w:val="18"/>
          <w:color w:val="auto"/>
        </w:rPr>
        <w:t>. The Administrator may issue Awards under the Plan in settlement, assumption or substitution for, outstanding awards or obligations to grant future awards in connection with the Company or a Related Entity acquiring another entity, an interest in another entity or an additional interest in a Related Entity whether by merger, stock purchase, asset purchase or other form of transaction.</w:t>
      </w:r>
    </w:p>
    <w:p>
      <w:pPr>
        <w:spacing w:after="0" w:line="175" w:lineRule="exact"/>
        <w:rPr>
          <w:rFonts w:ascii="Times New Roman" w:cs="Times New Roman" w:eastAsia="Times New Roman" w:hAnsi="Times New Roman"/>
          <w:sz w:val="18"/>
          <w:szCs w:val="18"/>
          <w:color w:val="auto"/>
        </w:rPr>
      </w:pPr>
    </w:p>
    <w:p>
      <w:pPr>
        <w:ind w:left="-1120" w:right="60" w:firstLine="1304"/>
        <w:spacing w:after="0" w:line="256" w:lineRule="auto"/>
        <w:tabs>
          <w:tab w:leader="none" w:pos="8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of Award Payment</w:t>
      </w:r>
      <w:r>
        <w:rPr>
          <w:rFonts w:ascii="Times New Roman" w:cs="Times New Roman" w:eastAsia="Times New Roman" w:hAnsi="Times New Roman"/>
          <w:sz w:val="18"/>
          <w:szCs w:val="18"/>
          <w:color w:val="auto"/>
        </w:rPr>
        <w:t>. The Administrator may establish one or more programs under the Plan to permit selected Grantees the opportunity to elect to defer receipt of consideration upon exercise of an Award, satisfaction of performance criteria, or other event that absent the election would entitle the Grantee to payment or receipt of Shares or other consideration under an Award.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spacing w:after="0" w:line="187" w:lineRule="exact"/>
        <w:rPr>
          <w:rFonts w:ascii="Times New Roman" w:cs="Times New Roman" w:eastAsia="Times New Roman" w:hAnsi="Times New Roman"/>
          <w:sz w:val="18"/>
          <w:szCs w:val="18"/>
          <w:color w:val="auto"/>
        </w:rPr>
      </w:pPr>
    </w:p>
    <w:p>
      <w:pPr>
        <w:ind w:left="-1120" w:right="220" w:firstLine="1304"/>
        <w:spacing w:after="0" w:line="312" w:lineRule="auto"/>
        <w:tabs>
          <w:tab w:leader="none" w:pos="85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Separate Programs</w:t>
      </w:r>
      <w:r>
        <w:rPr>
          <w:rFonts w:ascii="Times New Roman" w:cs="Times New Roman" w:eastAsia="Times New Roman" w:hAnsi="Times New Roman"/>
          <w:sz w:val="17"/>
          <w:szCs w:val="17"/>
          <w:color w:val="auto"/>
        </w:rPr>
        <w:t>. The Administrator may establish one or more separate programs under the Plan for the purpose of issuing particular forms of Awards to one or more classes of Grantees on such terms and conditions as determined by the Administrator from time to time.</w:t>
      </w:r>
    </w:p>
    <w:p>
      <w:pPr>
        <w:spacing w:after="0" w:line="139" w:lineRule="exact"/>
        <w:rPr>
          <w:rFonts w:ascii="Times New Roman" w:cs="Times New Roman" w:eastAsia="Times New Roman" w:hAnsi="Times New Roman"/>
          <w:sz w:val="17"/>
          <w:szCs w:val="17"/>
          <w:color w:val="auto"/>
        </w:rPr>
      </w:pPr>
    </w:p>
    <w:p>
      <w:pPr>
        <w:ind w:left="840" w:hanging="656"/>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Limitations on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120" w:firstLine="1952"/>
        <w:spacing w:after="0" w:line="256" w:lineRule="auto"/>
        <w:tabs>
          <w:tab w:leader="none" w:pos="121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Limit for Equity-Based Awards</w:t>
      </w:r>
      <w:r>
        <w:rPr>
          <w:rFonts w:ascii="Times New Roman" w:cs="Times New Roman" w:eastAsia="Times New Roman" w:hAnsi="Times New Roman"/>
          <w:sz w:val="18"/>
          <w:szCs w:val="18"/>
          <w:color w:val="auto"/>
        </w:rPr>
        <w:t>. The maximum number of Shares with respect to which equity-based Awards may be granted to any Grantee (other than a member of the Board in consideration for such member’s service on the Board) in any calendar year shall be 1,000,000 Shares. In connection with a Grantee’s commencement of Continuous Service (other than with respect to service as a member of the Board), a Grantee may be granted equity-based Awards for up to an additional 1,000,000 Shares which shall not count against the limit set forth in the previous sentence. The foregoing limitations shall be adjusted proportionately in connection with any change in the Company’s capitalization pursuant to Section 10,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353695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4" w:name="page15"/>
    <w:bookmarkEnd w:id="14"/>
    <w:p>
      <w:pPr>
        <w:ind w:left="-1120" w:firstLine="1952"/>
        <w:spacing w:after="0" w:line="258" w:lineRule="auto"/>
        <w:tabs>
          <w:tab w:leader="none" w:pos="12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Limit for Cash-Based Awards</w:t>
      </w:r>
      <w:r>
        <w:rPr>
          <w:rFonts w:ascii="Times New Roman" w:cs="Times New Roman" w:eastAsia="Times New Roman" w:hAnsi="Times New Roman"/>
          <w:sz w:val="18"/>
          <w:szCs w:val="18"/>
          <w:color w:val="auto"/>
        </w:rPr>
        <w:t>. For Cash-Based Awards that are intended to be Performance-Based Compensation, with respect to each twelve (12) month period that constitutes or is part of each Performance Period, the maximum amount that may be paid to a Grantee pursuant to such Awards shall be $5,000,000. In addition, the foregoing limitation shall be prorated for any Performance Period consisting of fewer than twelve (12) months by multiplying such limitation by a fraction, the numerator of which is the number of months in the Performance Period and the denominator of which is twelve (12).</w:t>
      </w:r>
    </w:p>
    <w:p>
      <w:pPr>
        <w:spacing w:after="0" w:line="183" w:lineRule="exact"/>
        <w:rPr>
          <w:rFonts w:ascii="Times New Roman" w:cs="Times New Roman" w:eastAsia="Times New Roman" w:hAnsi="Times New Roman"/>
          <w:sz w:val="18"/>
          <w:szCs w:val="18"/>
          <w:color w:val="auto"/>
        </w:rPr>
      </w:pPr>
    </w:p>
    <w:p>
      <w:pPr>
        <w:ind w:left="-1120" w:right="80" w:firstLine="1952"/>
        <w:spacing w:after="0" w:line="254" w:lineRule="auto"/>
        <w:tabs>
          <w:tab w:leader="none" w:pos="127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Individual Limit for Awards to Members of the Board</w:t>
      </w:r>
      <w:r>
        <w:rPr>
          <w:rFonts w:ascii="Times New Roman" w:cs="Times New Roman" w:eastAsia="Times New Roman" w:hAnsi="Times New Roman"/>
          <w:sz w:val="18"/>
          <w:szCs w:val="18"/>
          <w:color w:val="auto"/>
        </w:rPr>
        <w:t>. The maximum number of Shares with respect to which Awards may be granted to any member of the Board (in consideration for such member’s services as a member of the Board) in any calendar year shall be 250,000 Shares. Without limiting the foregoing, the aggregate value of all compensation paid or provided to any such member, including cash compensation, in consideration for such member’s services as a member of the Board, in respect of a calendar year shall not exceed $750,000 (for purposes of determining such aggregate value, compensation in the form of Awards shall be valued at the aggregate grant date fair value (as determined for financial reporting purposes)); provided, however, that such limit will not apply to initial Awards granted upon such member’s first election or appointment to the Board; provided, further, that such limit will apply if such Award is made in lieu of annual compensation. The foregoing Share limitation shall be adjusted proportionately in connection with any change in the Company’s capitalization pursuant to Section 10, below.</w:t>
      </w:r>
    </w:p>
    <w:p>
      <w:pPr>
        <w:spacing w:after="0" w:line="191" w:lineRule="exact"/>
        <w:rPr>
          <w:rFonts w:ascii="Times New Roman" w:cs="Times New Roman" w:eastAsia="Times New Roman" w:hAnsi="Times New Roman"/>
          <w:sz w:val="18"/>
          <w:szCs w:val="18"/>
          <w:color w:val="auto"/>
        </w:rPr>
      </w:pPr>
    </w:p>
    <w:p>
      <w:pPr>
        <w:ind w:left="-1120" w:firstLine="1304"/>
        <w:spacing w:after="0" w:line="258" w:lineRule="auto"/>
        <w:tabs>
          <w:tab w:leader="none" w:pos="8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w:t>
      </w:r>
      <w:r>
        <w:rPr>
          <w:rFonts w:ascii="Times New Roman" w:cs="Times New Roman" w:eastAsia="Times New Roman" w:hAnsi="Times New Roman"/>
          <w:sz w:val="18"/>
          <w:szCs w:val="18"/>
          <w:color w:val="auto"/>
        </w:rPr>
        <w:t>. If the vesting or receipt of Shares or cash under an Award is deferred to a later date, any amount (whether denominated in Shares or cash) paid in addition to the original number of Shares or amount of cash subject to such Award will not be treated as an increase in the number of Shares or amount of cash subject to the Award if the additional amount is based either on a reasonable rate of interest or on one or more predetermined actual investments such that the amount payable by the Company at the later date will be based on the actual rate of return of a specific investment (including any decrease as well as any increase in the value of an investment).</w:t>
      </w:r>
    </w:p>
    <w:p>
      <w:pPr>
        <w:spacing w:after="0" w:line="183" w:lineRule="exact"/>
        <w:rPr>
          <w:rFonts w:ascii="Times New Roman" w:cs="Times New Roman" w:eastAsia="Times New Roman" w:hAnsi="Times New Roman"/>
          <w:sz w:val="18"/>
          <w:szCs w:val="18"/>
          <w:color w:val="auto"/>
        </w:rPr>
      </w:pPr>
    </w:p>
    <w:p>
      <w:pPr>
        <w:ind w:left="-1120" w:right="100" w:firstLine="1304"/>
        <w:spacing w:after="0" w:line="261" w:lineRule="auto"/>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Early Exercise</w:t>
      </w:r>
      <w:r>
        <w:rPr>
          <w:rFonts w:ascii="Times New Roman" w:cs="Times New Roman" w:eastAsia="Times New Roman" w:hAnsi="Times New Roman"/>
          <w:sz w:val="18"/>
          <w:szCs w:val="18"/>
          <w:color w:val="auto"/>
        </w:rPr>
        <w:t>. The Award Agreement may, but need not, include a provision whereby the Grantee may elect at any time while an Employee, Director or Consultant to exercise any part or all of the Award prior to full vesting of the Award. Any unvested Shares received pursuant to such exercise may be subject to a repurchase right in favor of the Company or a Related Entity or to any other restriction the Administrator determines to be appropriate.</w:t>
      </w:r>
    </w:p>
    <w:p>
      <w:pPr>
        <w:spacing w:after="0" w:line="179" w:lineRule="exact"/>
        <w:rPr>
          <w:rFonts w:ascii="Times New Roman" w:cs="Times New Roman" w:eastAsia="Times New Roman" w:hAnsi="Times New Roman"/>
          <w:sz w:val="18"/>
          <w:szCs w:val="18"/>
          <w:color w:val="auto"/>
        </w:rPr>
      </w:pPr>
    </w:p>
    <w:p>
      <w:pPr>
        <w:ind w:left="-1120" w:right="40" w:firstLine="1304"/>
        <w:spacing w:after="0" w:line="256" w:lineRule="auto"/>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Award</w:t>
      </w:r>
      <w:r>
        <w:rPr>
          <w:rFonts w:ascii="Times New Roman" w:cs="Times New Roman" w:eastAsia="Times New Roman" w:hAnsi="Times New Roman"/>
          <w:sz w:val="18"/>
          <w:szCs w:val="18"/>
          <w:color w:val="auto"/>
        </w:rPr>
        <w:t>. The term of each Award shall be the term stated in the Award Agreement, provided, however, that the term of an Incentive Stock Option shall be no more than ten (10) years from the date of grant thereof. However, in the case of an Incentive Stock Option granted to a Grantee who, at the time the Option is granted, owns stock representing more than ten percent (10%) of the voting power of all classes of stock of the Company or any Parent or Subsidiary of the Company, the term of the Incentive Stock Option shall be five (5) years from the date of grant thereof or such shorter term as may be provided in the Award Agreement. Notwithstanding the foregoing, the specified term of any Award shall not include any period for which the Grantee has elected to defer the receipt of the Shares or cash issuable pursuant to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353695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580" w:right="359" w:bottom="1440" w:gutter="0" w:footer="0" w:header="0"/>
        </w:sectPr>
      </w:pPr>
    </w:p>
    <w:bookmarkStart w:id="15" w:name="page16"/>
    <w:bookmarkEnd w:id="15"/>
    <w:p>
      <w:pPr>
        <w:ind w:right="20" w:firstLine="1304"/>
        <w:spacing w:after="0" w:line="255" w:lineRule="auto"/>
        <w:tabs>
          <w:tab w:leader="none" w:pos="195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Incentive Stock Options may not be sold, pledged, assigned, hypothecated, transferred, or disposed of in any manner other than by will or by the laws of descent or distribution and may be exercised, during the lifetime of the Grantee, only by the Grantee. Other Awards shall be transferable (i) by will and by the laws of descent and distribution and (ii) during the lifetime of the Grantee, to the extent and in the manner authorized by the Administrator but only to the extent such transfers are made to family members, to family trusts, to family controlled entities, to charitable organizations, and pursuant to domestic relations orders or agreements, in all cases without payment for such transfers to the Grantee. Notwithstanding the foregoing, the Grantee may designate one or more beneficiaries of the Grantee’s Award in the event of the Grantee’s death on a beneficiary designation form provided by the Administrator.</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Granting Awards</w:t>
      </w:r>
      <w:r>
        <w:rPr>
          <w:rFonts w:ascii="Times New Roman" w:cs="Times New Roman" w:eastAsia="Times New Roman" w:hAnsi="Times New Roman"/>
          <w:sz w:val="18"/>
          <w:szCs w:val="18"/>
          <w:color w:val="auto"/>
        </w:rPr>
        <w:t>. The date of grant of an Award shall for all purposes be the date on which the Administrator makes the determination to grant such Award, or such other later date as is determined by the Administrator.</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Exercise or Purchase Price, Consideration and Taxes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or Purchase Price</w:t>
      </w:r>
      <w:r>
        <w:rPr>
          <w:rFonts w:ascii="Times New Roman" w:cs="Times New Roman" w:eastAsia="Times New Roman" w:hAnsi="Times New Roman"/>
          <w:sz w:val="18"/>
          <w:szCs w:val="18"/>
          <w:color w:val="auto"/>
        </w:rPr>
        <w:t>. The exercise or purchase price, if any, for an Award shall be as follows:</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225" w:lineRule="exact"/>
        <w:rPr>
          <w:rFonts w:ascii="Times New Roman" w:cs="Times New Roman" w:eastAsia="Times New Roman" w:hAnsi="Times New Roman"/>
          <w:sz w:val="18"/>
          <w:szCs w:val="18"/>
          <w:color w:val="auto"/>
        </w:rPr>
      </w:pPr>
    </w:p>
    <w:p>
      <w:pPr>
        <w:ind w:right="40" w:firstLine="2600"/>
        <w:spacing w:after="0" w:line="266" w:lineRule="auto"/>
        <w:tabs>
          <w:tab w:leader="none" w:pos="3022" w:val="left"/>
        </w:tabs>
        <w:numPr>
          <w:ilvl w:val="3"/>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of the grant of such Incentive Stock Option owns stock representing more than ten percent (10%) of the voting power of all classes of stock of the Company or any Parent or Subsidiary of the Company, the per Share exercise price shall be not less than one hundred ten percent (110%) of the Fair Market Value per Share on the date of grant; or</w:t>
      </w:r>
    </w:p>
    <w:p>
      <w:pPr>
        <w:spacing w:after="0" w:line="175" w:lineRule="exact"/>
        <w:rPr>
          <w:rFonts w:ascii="Times New Roman" w:cs="Times New Roman" w:eastAsia="Times New Roman" w:hAnsi="Times New Roman"/>
          <w:sz w:val="18"/>
          <w:szCs w:val="18"/>
          <w:color w:val="auto"/>
        </w:rPr>
      </w:pPr>
    </w:p>
    <w:p>
      <w:pPr>
        <w:ind w:left="3020" w:hanging="420"/>
        <w:spacing w:after="0"/>
        <w:tabs>
          <w:tab w:leader="none" w:pos="3020" w:val="left"/>
        </w:tabs>
        <w:numPr>
          <w:ilvl w:val="3"/>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Employee other than an Employee described in the preceding paragraph, the per Share exercise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shall be not less than one hundred percent (100%) of the Fair Market Value per Share on the date of grant.</w:t>
      </w:r>
    </w:p>
    <w:p>
      <w:pPr>
        <w:spacing w:after="0" w:line="206" w:lineRule="exact"/>
        <w:rPr>
          <w:rFonts w:ascii="Times New Roman" w:cs="Times New Roman" w:eastAsia="Times New Roman" w:hAnsi="Times New Roman"/>
          <w:sz w:val="18"/>
          <w:szCs w:val="18"/>
          <w:color w:val="auto"/>
        </w:rPr>
      </w:pPr>
    </w:p>
    <w:p>
      <w:pPr>
        <w:ind w:right="560" w:firstLine="1952"/>
        <w:spacing w:after="0" w:line="282" w:lineRule="auto"/>
        <w:tabs>
          <w:tab w:leader="none" w:pos="234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Non-Qualified Stock Option, the per Share exercise price shall be not less than one hundred percent (100%) of the Fair Market Value per Share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ind w:left="-1120" w:right="320" w:firstLine="1952"/>
        <w:spacing w:after="0" w:line="282" w:lineRule="auto"/>
        <w:tabs>
          <w:tab w:leader="none" w:pos="12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Awards intended to qualify as Performance-Based Compensation, the exercise or purchase price, if any, shall be not less than one hundred percent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ind w:left="-1120" w:right="160" w:firstLine="1952"/>
        <w:spacing w:after="0" w:line="282" w:lineRule="auto"/>
        <w:tabs>
          <w:tab w:leader="none" w:pos="126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SARs, the base appreciation amount shall not be less than one hundred percent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ind w:left="1220" w:hanging="388"/>
        <w:spacing w:after="0"/>
        <w:tabs>
          <w:tab w:leader="none" w:pos="12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other Awards, such price as is determined by the Administrator.</w:t>
      </w:r>
    </w:p>
    <w:p>
      <w:pPr>
        <w:spacing w:after="0" w:line="225" w:lineRule="exact"/>
        <w:rPr>
          <w:rFonts w:ascii="Times New Roman" w:cs="Times New Roman" w:eastAsia="Times New Roman" w:hAnsi="Times New Roman"/>
          <w:sz w:val="18"/>
          <w:szCs w:val="18"/>
          <w:color w:val="auto"/>
        </w:rPr>
      </w:pPr>
    </w:p>
    <w:p>
      <w:pPr>
        <w:ind w:left="-1120" w:right="260" w:firstLine="1952"/>
        <w:spacing w:after="0" w:line="266" w:lineRule="auto"/>
        <w:tabs>
          <w:tab w:leader="none" w:pos="126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spacing w:after="0" w:line="175" w:lineRule="exact"/>
        <w:rPr>
          <w:rFonts w:ascii="Times New Roman" w:cs="Times New Roman" w:eastAsia="Times New Roman" w:hAnsi="Times New Roman"/>
          <w:sz w:val="18"/>
          <w:szCs w:val="18"/>
          <w:color w:val="auto"/>
        </w:rPr>
      </w:pPr>
    </w:p>
    <w:p>
      <w:pPr>
        <w:ind w:left="-1120" w:firstLine="1304"/>
        <w:spacing w:after="0" w:line="261" w:lineRule="auto"/>
        <w:tabs>
          <w:tab w:leader="none" w:pos="8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Subject to Applicable Laws, the consideration to be paid for the Shares to be issued upon exercise or purchase of an Award including the method of payment, shall be determined by the Administrator. In addition to any other types of consideration the Administrator may determine, the Administrator is authorized to accept as consideration for Shares issued under the Plan the following, provided that the portion of the consideration equal to the par value of the Shares must be paid in cash or other legal consideration permitted by the Delaware General Corporation Law:</w:t>
      </w:r>
    </w:p>
    <w:p>
      <w:pPr>
        <w:spacing w:after="0" w:line="179" w:lineRule="exact"/>
        <w:rPr>
          <w:rFonts w:ascii="Times New Roman" w:cs="Times New Roman" w:eastAsia="Times New Roman" w:hAnsi="Times New Roman"/>
          <w:sz w:val="18"/>
          <w:szCs w:val="18"/>
          <w:color w:val="auto"/>
        </w:rPr>
      </w:pPr>
    </w:p>
    <w:p>
      <w:pPr>
        <w:ind w:left="1180" w:hanging="348"/>
        <w:spacing w:after="0"/>
        <w:tabs>
          <w:tab w:leader="none" w:pos="11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1240" w:hanging="408"/>
        <w:spacing w:after="0"/>
        <w:tabs>
          <w:tab w:leader="none" w:pos="12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25" w:lineRule="exact"/>
        <w:rPr>
          <w:rFonts w:ascii="Times New Roman" w:cs="Times New Roman" w:eastAsia="Times New Roman" w:hAnsi="Times New Roman"/>
          <w:sz w:val="18"/>
          <w:szCs w:val="18"/>
          <w:color w:val="auto"/>
        </w:rPr>
      </w:pPr>
    </w:p>
    <w:p>
      <w:pPr>
        <w:ind w:left="-1120" w:right="300" w:firstLine="1952"/>
        <w:spacing w:after="0" w:line="266" w:lineRule="auto"/>
        <w:tabs>
          <w:tab w:leader="none" w:pos="127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Shares or delivery of a properly executed form of attestation of ownership of Shares as the Administrator may require which have a Fair Market Value on the date of surrender or attestation equal to the aggregate exercise price of the Shares as to which said Award shall be exercised;</w:t>
      </w:r>
    </w:p>
    <w:p>
      <w:pPr>
        <w:spacing w:after="0" w:line="175" w:lineRule="exact"/>
        <w:rPr>
          <w:rFonts w:ascii="Times New Roman" w:cs="Times New Roman" w:eastAsia="Times New Roman" w:hAnsi="Times New Roman"/>
          <w:sz w:val="18"/>
          <w:szCs w:val="18"/>
          <w:color w:val="auto"/>
        </w:rPr>
      </w:pPr>
    </w:p>
    <w:p>
      <w:pPr>
        <w:ind w:left="-1120" w:right="20" w:firstLine="1952"/>
        <w:spacing w:after="0" w:line="256" w:lineRule="auto"/>
        <w:tabs>
          <w:tab w:leader="none" w:pos="12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Options, if the exercise occurs when the Common Stock is listed on one or more established stock exchanges or national market systems, including without limitation the NASDAQ Global Select Market, payment through a broker-dealer sale and remittance procedure pursuant to which the Grantee (A) shall provide written instructions to a Company 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for the purchased Shares directly to such brokerage firm in order to complete the sale transaction;</w:t>
      </w:r>
    </w:p>
    <w:p>
      <w:pPr>
        <w:spacing w:after="0" w:line="187" w:lineRule="exact"/>
        <w:rPr>
          <w:rFonts w:ascii="Times New Roman" w:cs="Times New Roman" w:eastAsia="Times New Roman" w:hAnsi="Times New Roman"/>
          <w:sz w:val="18"/>
          <w:szCs w:val="18"/>
          <w:color w:val="auto"/>
        </w:rPr>
      </w:pPr>
    </w:p>
    <w:p>
      <w:pPr>
        <w:ind w:left="-1120" w:right="100" w:firstLine="1952"/>
        <w:spacing w:after="0" w:line="258" w:lineRule="auto"/>
        <w:tabs>
          <w:tab w:leader="none" w:pos="121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 (the number of net Shares to be received shall be rounded down to the nearest whole number of Shares);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351155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580" w:right="399" w:bottom="1440" w:gutter="0" w:footer="0" w:header="0"/>
        </w:sectPr>
      </w:pPr>
    </w:p>
    <w:bookmarkStart w:id="17" w:name="page18"/>
    <w:bookmarkEnd w:id="17"/>
    <w:p>
      <w:pPr>
        <w:ind w:left="2400" w:hanging="448"/>
        <w:spacing w:after="0"/>
        <w:tabs>
          <w:tab w:leader="none" w:pos="2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methods of payment.</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Administrator may at any time or from time to time, by adoption of or by amendment to the standard forms of Award Agreement described in Section 4(b)(iv), or by other means, grant Awards which do not permit all of the foregoing forms of consideration to be used in payment for the Shares or which otherwise restrict one or more forms of consideration.</w:t>
      </w:r>
    </w:p>
    <w:p>
      <w:pPr>
        <w:spacing w:after="0" w:line="176" w:lineRule="exact"/>
        <w:rPr>
          <w:sz w:val="20"/>
          <w:szCs w:val="20"/>
          <w:color w:val="auto"/>
        </w:rPr>
      </w:pPr>
    </w:p>
    <w:p>
      <w:pPr>
        <w:ind w:firstLine="1304"/>
        <w:spacing w:after="0" w:line="273" w:lineRule="auto"/>
        <w:tabs>
          <w:tab w:leader="none" w:pos="1945"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No Shares or cash shall be delivered under the Plan to any Grantee or other person until such Grantee or other person has made arrangements acceptable to the Administrator for the satisfaction of any non-U.S., federal, state, or local income and employment tax withholding obligations, including, without limitation, obligations incident to the receipt of Shares or cash. Upon exercise or vesting of an Award the Company shall withhold or collect from the Grantee an amount sufficient to satisfy such tax obligations, including, but not limited to, by surrender of the whole number of Shares covered by the Award, if applicable, sufficient to satisfy the applicable tax withholding obligations incident to the exercise or vesting of an Award (limited to avoid, as determined by the Administrator, financial accounting charges under applicable accounting guidance and reduced to the lowest whole number of Shares if such number of Shares withheld would result in withholding a fractional Share with any remaining tax withholding settled in cash).</w:t>
      </w:r>
    </w:p>
    <w:p>
      <w:pPr>
        <w:spacing w:after="0" w:line="171" w:lineRule="exact"/>
        <w:rPr>
          <w:rFonts w:ascii="Times New Roman" w:cs="Times New Roman" w:eastAsia="Times New Roman" w:hAnsi="Times New Roman"/>
          <w:sz w:val="17"/>
          <w:szCs w:val="17"/>
          <w:color w:val="auto"/>
        </w:rPr>
      </w:pPr>
    </w:p>
    <w:p>
      <w:pPr>
        <w:ind w:left="1340" w:hanging="684"/>
        <w:spacing w:after="0"/>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Award.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0" w:firstLine="1952"/>
        <w:spacing w:after="0" w:line="282" w:lineRule="auto"/>
        <w:tabs>
          <w:tab w:leader="none" w:pos="2284"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granted hereunder shall be exercisable at such times and under such conditions as determined by the Administrator under the terms of the Plan and specified in the Award Agreement.</w:t>
      </w:r>
    </w:p>
    <w:p>
      <w:pPr>
        <w:spacing w:after="0" w:line="161" w:lineRule="exact"/>
        <w:rPr>
          <w:rFonts w:ascii="Times New Roman" w:cs="Times New Roman" w:eastAsia="Times New Roman" w:hAnsi="Times New Roman"/>
          <w:sz w:val="18"/>
          <w:szCs w:val="18"/>
          <w:color w:val="auto"/>
        </w:rPr>
      </w:pPr>
    </w:p>
    <w:p>
      <w:pPr>
        <w:ind w:right="100" w:firstLine="1952"/>
        <w:spacing w:after="0" w:line="261" w:lineRule="auto"/>
        <w:tabs>
          <w:tab w:leader="none" w:pos="2334"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7(b)(iv).</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Award Following Termination of Continuous Service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300" w:firstLine="1952"/>
        <w:spacing w:after="0" w:line="282" w:lineRule="auto"/>
        <w:tabs>
          <w:tab w:leader="none" w:pos="2284"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Award may not be exercised after the termination date of such Award set forth in the Award Agreement and may be exercised following the termination of a Grantee’s Continuous Service only to the extent provided in the Award Agreement.</w:t>
      </w:r>
    </w:p>
    <w:p>
      <w:pPr>
        <w:spacing w:after="0" w:line="161" w:lineRule="exact"/>
        <w:rPr>
          <w:rFonts w:ascii="Times New Roman" w:cs="Times New Roman" w:eastAsia="Times New Roman" w:hAnsi="Times New Roman"/>
          <w:sz w:val="18"/>
          <w:szCs w:val="18"/>
          <w:color w:val="auto"/>
        </w:rPr>
      </w:pPr>
    </w:p>
    <w:p>
      <w:pPr>
        <w:ind w:right="40" w:firstLine="1952"/>
        <w:spacing w:after="0" w:line="266" w:lineRule="auto"/>
        <w:tabs>
          <w:tab w:leader="none" w:pos="234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Award Agreement permits a Grantee to exercise an Award following the termination of the Grantee’s Continuous Service for a specified period, the Award shall terminate to the extent not exercised on the last day of the specified period or the last day of the original term of the Award, whichever occurs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8" w:name="page19"/>
    <w:bookmarkEnd w:id="18"/>
    <w:p>
      <w:pPr>
        <w:ind w:left="-656" w:right="220" w:firstLine="1952"/>
        <w:spacing w:after="0" w:line="266" w:lineRule="auto"/>
        <w:tabs>
          <w:tab w:leader="none" w:pos="172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designated as an Incentive Stock Option to the extent not exercised within the time permitted by law for the exercise of Incentive Stock Options following the termination of a Grantee’s Continuous Service shall convert automatically to a Non-Qualified Stock Option and thereafter shall be exercisable as such to the extent exercisable by its terms for the period specified in the Award Agreement.</w:t>
      </w:r>
    </w:p>
    <w:p>
      <w:pPr>
        <w:spacing w:after="0" w:line="175"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p>
    <w:p>
      <w:pPr>
        <w:spacing w:after="0" w:line="225" w:lineRule="exact"/>
        <w:rPr>
          <w:rFonts w:ascii="Times New Roman" w:cs="Times New Roman" w:eastAsia="Times New Roman" w:hAnsi="Times New Roman"/>
          <w:sz w:val="18"/>
          <w:szCs w:val="18"/>
          <w:color w:val="auto"/>
        </w:rPr>
      </w:pPr>
    </w:p>
    <w:p>
      <w:pPr>
        <w:ind w:left="-656" w:firstLine="1304"/>
        <w:spacing w:after="0" w:line="258" w:lineRule="auto"/>
        <w:tabs>
          <w:tab w:leader="none" w:pos="129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federal or state laws.</w:t>
      </w:r>
    </w:p>
    <w:p>
      <w:pPr>
        <w:spacing w:after="0" w:line="183" w:lineRule="exact"/>
        <w:rPr>
          <w:rFonts w:ascii="Times New Roman" w:cs="Times New Roman" w:eastAsia="Times New Roman" w:hAnsi="Times New Roman"/>
          <w:sz w:val="18"/>
          <w:szCs w:val="18"/>
          <w:color w:val="auto"/>
        </w:rPr>
      </w:pPr>
    </w:p>
    <w:p>
      <w:pPr>
        <w:ind w:left="-656" w:right="80" w:firstLine="1304"/>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spacing w:after="0" w:line="175" w:lineRule="exact"/>
        <w:rPr>
          <w:rFonts w:ascii="Times New Roman" w:cs="Times New Roman" w:eastAsia="Times New Roman" w:hAnsi="Times New Roman"/>
          <w:sz w:val="18"/>
          <w:szCs w:val="18"/>
          <w:color w:val="auto"/>
        </w:rPr>
      </w:pPr>
    </w:p>
    <w:p>
      <w:pPr>
        <w:ind w:left="-656" w:right="40" w:firstLine="656"/>
        <w:spacing w:after="0" w:line="252" w:lineRule="auto"/>
        <w:tabs>
          <w:tab w:leader="none" w:pos="66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Upon Changes in Capitalization</w:t>
      </w:r>
      <w:r>
        <w:rPr>
          <w:rFonts w:ascii="Times New Roman" w:cs="Times New Roman" w:eastAsia="Times New Roman" w:hAnsi="Times New Roman"/>
          <w:sz w:val="18"/>
          <w:szCs w:val="18"/>
          <w:color w:val="auto"/>
        </w:rPr>
        <w:t>. Subject to any required action by the stockholders of the Company and Section 11 hereof,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the numerical limits set forth in Section 6(g), as well as any other terms that the Administrator determines require adjustment shall be proportionately adjusted for (i) any increase or decrease in the number of issued Shares resulting from a stock split, reverse stock split, stock dividend, non-dividend distribution, recapitalization, combination or reclassification of the Shares, or similar transaction affecting the Shares, (ii) any other increase or decrease in the number of issued Shares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In the event of any distribution of cash or other assets to stockholders other than a normal cash dividend, the Administrator shall also make such adjustments as provided in this Section 10 or substitute, exchange or grant Awards to effect such adjustments (collectively “adjustments”). Any such adjustments to outstanding Awards will be effected in a manner that precludes the enlargement of rights and benefits under such Awards. In connection with the foregoing adjustments, the Administrator may, in its discretion, prohibit the exercise of Awards or other issuance of Shares, cash or other consideration pursuant to Awards during certain periods of time. Except as the Administrator determines, no issuance by the Company of shares of any class, or securities convertible into shares of any class, shall affect, and no adjustment by reason hereof shall be made with respect to, the number or price of Shares subject to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358140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0" w:right="359" w:bottom="1440" w:gutter="0" w:footer="0" w:header="0"/>
        </w:sectPr>
      </w:pPr>
    </w:p>
    <w:bookmarkStart w:id="19" w:name="page20"/>
    <w:bookmarkEnd w:id="19"/>
    <w:p>
      <w:pPr>
        <w:ind w:left="664" w:hanging="664"/>
        <w:spacing w:after="0"/>
        <w:tabs>
          <w:tab w:leader="none" w:pos="6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 and Changes in Control.</w:t>
      </w:r>
    </w:p>
    <w:p>
      <w:pPr>
        <w:spacing w:after="0" w:line="225" w:lineRule="exact"/>
        <w:rPr>
          <w:rFonts w:ascii="Times New Roman" w:cs="Times New Roman" w:eastAsia="Times New Roman" w:hAnsi="Times New Roman"/>
          <w:sz w:val="18"/>
          <w:szCs w:val="18"/>
          <w:color w:val="auto"/>
        </w:rPr>
      </w:pPr>
    </w:p>
    <w:p>
      <w:pPr>
        <w:ind w:left="-656" w:right="500" w:firstLine="1304"/>
        <w:spacing w:after="0" w:line="266" w:lineRule="auto"/>
        <w:tabs>
          <w:tab w:leader="none" w:pos="128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Award to Extent Not Assumed in Corporate Transaction</w:t>
      </w:r>
      <w:r>
        <w:rPr>
          <w:rFonts w:ascii="Times New Roman" w:cs="Times New Roman" w:eastAsia="Times New Roman" w:hAnsi="Times New Roman"/>
          <w:sz w:val="18"/>
          <w:szCs w:val="18"/>
          <w:color w:val="auto"/>
        </w:rPr>
        <w:t>. Effective upon the consummation of a Corporate Transaction, all outstanding Awards under the Plan shall terminate. However, all such Awards shall not terminate to the extent they are Assumed in connection with the Corporate Transaction.</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 of Award Upon Corporate Transaction or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4" w:hanging="668"/>
        <w:spacing w:after="0"/>
        <w:tabs>
          <w:tab w:leader="none" w:pos="1964"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In the event of a Corporate Transaction:</w:t>
      </w:r>
    </w:p>
    <w:p>
      <w:pPr>
        <w:spacing w:after="0" w:line="225" w:lineRule="exact"/>
        <w:rPr>
          <w:rFonts w:ascii="Times New Roman" w:cs="Times New Roman" w:eastAsia="Times New Roman" w:hAnsi="Times New Roman"/>
          <w:sz w:val="18"/>
          <w:szCs w:val="18"/>
          <w:color w:val="auto"/>
        </w:rPr>
      </w:pPr>
    </w:p>
    <w:p>
      <w:pPr>
        <w:ind w:left="-656" w:right="80" w:firstLine="2600"/>
        <w:spacing w:after="0" w:line="256" w:lineRule="auto"/>
        <w:tabs>
          <w:tab w:leader="none" w:pos="2366" w:val="left"/>
        </w:tabs>
        <w:numPr>
          <w:ilvl w:val="3"/>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portion of each Award that is Assumed or Replaced, then such Award (if Assumed), the replacement Award (if Replaced), or the cash incentive program (if Replaced) automatically shall become fully vested, exercisable and payable and be released from any repurchase or forfeiture rights (other than repurchase rights exercisable at Fair Market Value) for all of the Shares (or other consideration) at the time represented by such Assumed or Replaced portion of the Award, immediately upon termination of the Grantee’s Continuous Service if such Continuous Service is terminated by the successor company or the Company or a Related Entity without Cause or voluntarily by the Grantee with Good Reason at any time after the Corporate Transaction; and</w:t>
      </w:r>
    </w:p>
    <w:p>
      <w:pPr>
        <w:spacing w:after="0" w:line="187" w:lineRule="exact"/>
        <w:rPr>
          <w:rFonts w:ascii="Times New Roman" w:cs="Times New Roman" w:eastAsia="Times New Roman" w:hAnsi="Times New Roman"/>
          <w:sz w:val="18"/>
          <w:szCs w:val="18"/>
          <w:color w:val="auto"/>
        </w:rPr>
      </w:pPr>
    </w:p>
    <w:p>
      <w:pPr>
        <w:ind w:left="-656" w:right="60" w:firstLine="2600"/>
        <w:spacing w:after="0" w:line="261" w:lineRule="auto"/>
        <w:tabs>
          <w:tab w:leader="none" w:pos="2356" w:val="left"/>
        </w:tabs>
        <w:numPr>
          <w:ilvl w:val="3"/>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portion of each Award that is neither Assumed nor Replaced, such portion of the Award shall automatically become fully vested and exercisable and be released from any repurchase or forfeiture rights (other than repurchase rights exercisable at Fair Market Value) for all of the Shares (or other consideration) at the time represented by such portion of the Award, immediately prior to the specified effective date of such Corporate Transaction, provided that the Grantee’s Continuous Service has not terminated prior to such date.</w:t>
      </w:r>
    </w:p>
    <w:p>
      <w:pPr>
        <w:spacing w:after="0" w:line="179" w:lineRule="exact"/>
        <w:rPr>
          <w:rFonts w:ascii="Times New Roman" w:cs="Times New Roman" w:eastAsia="Times New Roman" w:hAnsi="Times New Roman"/>
          <w:sz w:val="18"/>
          <w:szCs w:val="18"/>
          <w:color w:val="auto"/>
        </w:rPr>
      </w:pPr>
    </w:p>
    <w:p>
      <w:pPr>
        <w:ind w:left="-656" w:right="80" w:firstLine="1952"/>
        <w:spacing w:after="0" w:line="261" w:lineRule="auto"/>
        <w:tabs>
          <w:tab w:leader="none" w:pos="1958"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Change in Control, each Award shall automatically become fully vested and exercisable and be released from any repurchase or forfeiture rights (other than repurchase rights exercisable at Fair Market Value) for all of the Shares (or other consideration) at the time represented by such portion of the Award, immediately prior to the specified effective date of such Change in Control, provided that the Grantee’s Continuous Service has not terminated prior to such date.</w:t>
      </w:r>
    </w:p>
    <w:p>
      <w:pPr>
        <w:spacing w:after="0" w:line="179" w:lineRule="exact"/>
        <w:rPr>
          <w:rFonts w:ascii="Times New Roman" w:cs="Times New Roman" w:eastAsia="Times New Roman" w:hAnsi="Times New Roman"/>
          <w:sz w:val="18"/>
          <w:szCs w:val="18"/>
          <w:color w:val="auto"/>
        </w:rPr>
      </w:pPr>
    </w:p>
    <w:p>
      <w:pPr>
        <w:ind w:left="-656" w:right="120" w:firstLine="1304"/>
        <w:spacing w:after="0" w:line="266" w:lineRule="auto"/>
        <w:tabs>
          <w:tab w:leader="none" w:pos="128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Acceleration on Incentive Stock Options</w:t>
      </w:r>
      <w:r>
        <w:rPr>
          <w:rFonts w:ascii="Times New Roman" w:cs="Times New Roman" w:eastAsia="Times New Roman" w:hAnsi="Times New Roman"/>
          <w:sz w:val="18"/>
          <w:szCs w:val="18"/>
          <w:color w:val="auto"/>
        </w:rPr>
        <w:t>. Any Incentive Stock Option accelerated under this Section 11 in connection with a Corporate Transaction or Change in Control shall remain exercisable as an Incentive Stock Option under the Code only to the extent the $100,000 dollar limitation of Section 422(d) of the Code is not exceeded.</w:t>
      </w:r>
    </w:p>
    <w:p>
      <w:pPr>
        <w:spacing w:after="0" w:line="175" w:lineRule="exact"/>
        <w:rPr>
          <w:rFonts w:ascii="Times New Roman" w:cs="Times New Roman" w:eastAsia="Times New Roman" w:hAnsi="Times New Roman"/>
          <w:sz w:val="18"/>
          <w:szCs w:val="18"/>
          <w:color w:val="auto"/>
        </w:rPr>
      </w:pPr>
    </w:p>
    <w:p>
      <w:pPr>
        <w:ind w:left="-656" w:firstLine="656"/>
        <w:spacing w:after="0" w:line="266" w:lineRule="auto"/>
        <w:tabs>
          <w:tab w:leader="none" w:pos="66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Plan</w:t>
      </w:r>
      <w:r>
        <w:rPr>
          <w:rFonts w:ascii="Times New Roman" w:cs="Times New Roman" w:eastAsia="Times New Roman" w:hAnsi="Times New Roman"/>
          <w:sz w:val="18"/>
          <w:szCs w:val="18"/>
          <w:color w:val="auto"/>
        </w:rPr>
        <w:t>. The Plan shall become effective upon the earlier to occur of its adoption by the Board or its approval by the stockholders of the Company. It shall continue in effect until January 31, 2030 unless sooner terminated. Subject to Section 17, below, and Applicable Laws, Awards may be granted under the Plan upon its becoming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346075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80" w:right="359" w:bottom="1440" w:gutter="0" w:footer="0" w:header="0"/>
        </w:sectPr>
      </w:pPr>
    </w:p>
    <w:bookmarkStart w:id="20" w:name="page21"/>
    <w:bookmarkEnd w:id="20"/>
    <w:p>
      <w:pPr>
        <w:ind w:left="684" w:hanging="684"/>
        <w:spacing w:after="0"/>
        <w:tabs>
          <w:tab w:leader="none" w:pos="6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p>
    <w:p>
      <w:pPr>
        <w:spacing w:after="0" w:line="225" w:lineRule="exact"/>
        <w:rPr>
          <w:rFonts w:ascii="Times New Roman" w:cs="Times New Roman" w:eastAsia="Times New Roman" w:hAnsi="Times New Roman"/>
          <w:sz w:val="18"/>
          <w:szCs w:val="18"/>
          <w:color w:val="auto"/>
        </w:rPr>
      </w:pPr>
    </w:p>
    <w:p>
      <w:pPr>
        <w:ind w:left="-656" w:firstLine="1304"/>
        <w:spacing w:after="0" w:line="255" w:lineRule="auto"/>
        <w:tabs>
          <w:tab w:leader="none" w:pos="129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amend, suspend or terminate the Plan; provided, however, that if an amendment to the Plan, for purposes of applicable stock exchange rules and except as permitted under Section 10 of the Plan, (i) would materially increase the benefits accruing to Grantees under the Plan, (ii) would materially increase the number of securities which may be issued under the Plan, (iii) would materially modify the requirements for participation in the Plan, or (iv) must otherwise be approved by the stockholders of the Company in order to comply with Applicable Laws or the rules of the NASDAQ Capital Market or, if the Common Stock is not traded on the NASDAQ Capital Market, the principal national securities exchange upon which the Common Stock is traded or quoted, all as determined by the Board, then, such amendment will be subject to stockholder approval and will not be effective unless and until such approval has been obtained.</w:t>
      </w:r>
    </w:p>
    <w:p>
      <w:pPr>
        <w:spacing w:after="0" w:line="188" w:lineRule="exact"/>
        <w:rPr>
          <w:rFonts w:ascii="Times New Roman" w:cs="Times New Roman" w:eastAsia="Times New Roman" w:hAnsi="Times New Roman"/>
          <w:sz w:val="18"/>
          <w:szCs w:val="18"/>
          <w:color w:val="auto"/>
        </w:rPr>
      </w:pPr>
    </w:p>
    <w:p>
      <w:pPr>
        <w:ind w:left="-656" w:firstLine="1304"/>
        <w:spacing w:after="0" w:line="254"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a Corporate Transaction or event described in Section 10 of the Plan or in connection with a Change in Control, the terms of outstanding Awards may not be amended to reduce the per Share exercise price of outstanding Options or the base appreciation amount of outstanding SARs, or cancel outstanding “underwater” Options or SARs (including following a voluntary surrender of “underwater” Options or SARs) in exchange for cash, other Awards or Options or SARs with per Share exercise price or base appreciation amount, as applicable, that is less than the per Share exercise price of the original Options or base appreciation amount of the original SARs, as applicable, without stockholder approval. This Section 13(b) is intended to prohibit the repricing of “underwater” Options and SARs and will not be construed to prohibit the adjustments provided for in Section 10 of the Plan. Notwithstanding any provision of the Plan to the contrary, this Section 13(b) may not be amended without approval by the Company’s stockholders.</w:t>
      </w:r>
    </w:p>
    <w:p>
      <w:pPr>
        <w:spacing w:after="0" w:line="19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be granted during any suspension of the Plan or after termination of the Plan.</w:t>
      </w:r>
    </w:p>
    <w:p>
      <w:pPr>
        <w:spacing w:after="0" w:line="225" w:lineRule="exact"/>
        <w:rPr>
          <w:rFonts w:ascii="Times New Roman" w:cs="Times New Roman" w:eastAsia="Times New Roman" w:hAnsi="Times New Roman"/>
          <w:sz w:val="18"/>
          <w:szCs w:val="18"/>
          <w:color w:val="auto"/>
        </w:rPr>
      </w:pPr>
    </w:p>
    <w:p>
      <w:pPr>
        <w:ind w:left="-656" w:right="120" w:firstLine="1304"/>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or termination of the Plan (including termination of the Plan under Section 12, above) shall adversely affect any rights under Awards already granted to a Grantee.</w:t>
      </w:r>
    </w:p>
    <w:p>
      <w:pPr>
        <w:spacing w:after="0" w:line="161"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p>
    <w:p>
      <w:pPr>
        <w:spacing w:after="0" w:line="225" w:lineRule="exact"/>
        <w:rPr>
          <w:rFonts w:ascii="Times New Roman" w:cs="Times New Roman" w:eastAsia="Times New Roman" w:hAnsi="Times New Roman"/>
          <w:sz w:val="18"/>
          <w:szCs w:val="18"/>
          <w:color w:val="auto"/>
        </w:rPr>
      </w:pPr>
    </w:p>
    <w:p>
      <w:pPr>
        <w:ind w:left="-656" w:right="620" w:firstLine="1304"/>
        <w:spacing w:after="0" w:line="282" w:lineRule="auto"/>
        <w:tabs>
          <w:tab w:leader="none" w:pos="129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during the term of the Plan, will at all times reserve and keep available such number of Shares as shall be sufficient to satisfy the requirements of the Plan.</w:t>
      </w:r>
    </w:p>
    <w:p>
      <w:pPr>
        <w:spacing w:after="0" w:line="161" w:lineRule="exact"/>
        <w:rPr>
          <w:rFonts w:ascii="Times New Roman" w:cs="Times New Roman" w:eastAsia="Times New Roman" w:hAnsi="Times New Roman"/>
          <w:sz w:val="18"/>
          <w:szCs w:val="18"/>
          <w:color w:val="auto"/>
        </w:rPr>
      </w:pPr>
    </w:p>
    <w:p>
      <w:pPr>
        <w:ind w:left="-656" w:firstLine="1304"/>
        <w:spacing w:after="0" w:line="266"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346075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21" w:name="page22"/>
    <w:bookmarkEnd w:id="21"/>
    <w:p>
      <w:pPr>
        <w:ind w:left="-656" w:right="240" w:firstLine="656"/>
        <w:spacing w:after="0" w:line="258" w:lineRule="auto"/>
        <w:tabs>
          <w:tab w:leader="none" w:pos="6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Terms of Employment/Consulting Relationship</w:t>
      </w:r>
      <w:r>
        <w:rPr>
          <w:rFonts w:ascii="Times New Roman" w:cs="Times New Roman" w:eastAsia="Times New Roman" w:hAnsi="Times New Roman"/>
          <w:sz w:val="18"/>
          <w:szCs w:val="18"/>
          <w:color w:val="auto"/>
        </w:rPr>
        <w:t>. The Plan shall not confer upon any Grantee any right with respect to the Grantee’s Continuous Service, nor shall it interfere in any way with his or her right or the right of the Company or any Related Entity to terminate the Grantee’s Continuous Service at any time, with or without cause, including, but not limited to,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spacing w:after="0" w:line="183" w:lineRule="exact"/>
        <w:rPr>
          <w:rFonts w:ascii="Times New Roman" w:cs="Times New Roman" w:eastAsia="Times New Roman" w:hAnsi="Times New Roman"/>
          <w:sz w:val="18"/>
          <w:szCs w:val="18"/>
          <w:color w:val="auto"/>
        </w:rPr>
      </w:pPr>
    </w:p>
    <w:p>
      <w:pPr>
        <w:jc w:val="both"/>
        <w:ind w:left="-656" w:right="20" w:firstLine="656"/>
        <w:spacing w:after="0" w:line="258" w:lineRule="auto"/>
        <w:tabs>
          <w:tab w:leader="none" w:pos="6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Retirement and Other Benefit Plans</w:t>
      </w:r>
      <w:r>
        <w:rPr>
          <w:rFonts w:ascii="Times New Roman" w:cs="Times New Roman" w:eastAsia="Times New Roman" w:hAnsi="Times New Roman"/>
          <w:sz w:val="18"/>
          <w:szCs w:val="18"/>
          <w:color w:val="auto"/>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“Pension Plan” or “Welfare Plan” under the Employee Retirement Income Security Act of 1974, as amended.</w:t>
      </w:r>
    </w:p>
    <w:p>
      <w:pPr>
        <w:spacing w:after="0" w:line="183" w:lineRule="exact"/>
        <w:rPr>
          <w:rFonts w:ascii="Times New Roman" w:cs="Times New Roman" w:eastAsia="Times New Roman" w:hAnsi="Times New Roman"/>
          <w:sz w:val="18"/>
          <w:szCs w:val="18"/>
          <w:color w:val="auto"/>
        </w:rPr>
      </w:pPr>
    </w:p>
    <w:p>
      <w:pPr>
        <w:ind w:left="-656" w:right="60" w:firstLine="656"/>
        <w:spacing w:after="0" w:line="258" w:lineRule="auto"/>
        <w:tabs>
          <w:tab w:leader="none" w:pos="6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Continuance of the Plan shall be subject to approval by the stockholders of the Company within twelve (12) months before or after the date the Plan is adopted. Such stockholder approval shall be obtained in the degree and manner required under Applicable Laws. Any Award exercised or settled before stockholder approval is obtained shall be rescinded if stockholder approval is not obtained within the time prescribed, and Shares issued on the exercise or settlement of any such Award shall not be counted in determining whether stockholder approval is obtained.</w:t>
      </w:r>
    </w:p>
    <w:p>
      <w:pPr>
        <w:spacing w:after="0" w:line="183" w:lineRule="exact"/>
        <w:rPr>
          <w:rFonts w:ascii="Times New Roman" w:cs="Times New Roman" w:eastAsia="Times New Roman" w:hAnsi="Times New Roman"/>
          <w:sz w:val="18"/>
          <w:szCs w:val="18"/>
          <w:color w:val="auto"/>
        </w:rPr>
      </w:pPr>
    </w:p>
    <w:p>
      <w:pPr>
        <w:ind w:left="-656" w:firstLine="656"/>
        <w:spacing w:after="0" w:line="252" w:lineRule="auto"/>
        <w:tabs>
          <w:tab w:leader="none" w:pos="6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and Recoupment Provisions</w:t>
      </w:r>
      <w:r>
        <w:rPr>
          <w:rFonts w:ascii="Times New Roman" w:cs="Times New Roman" w:eastAsia="Times New Roman" w:hAnsi="Times New Roman"/>
          <w:sz w:val="18"/>
          <w:szCs w:val="18"/>
          <w:color w:val="auto"/>
        </w:rPr>
        <w:t>. Any Award (or any part thereof) may provide for the cancellation or forfeiture of an award or the forfeiture and repayment to the Company of any gain or earnings related to an award, or other provisions intended to have a similar effect, upon such terms and conditions as may be determined by the Committee in accordance with (a) any Company clawback or recoupment policy or policies as adopted from time to time, including any policy that is adopted to comply with the requirements of any applicable laws, rules, regulations, stock exchange listing standards or otherwise (in each case, the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or (b)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Awards, the Grantees consent to be bound by the terms of the Clawback Policy, if applicable, and agree and acknowledge that they are obligated to cooperate with, and provide any and all assistance necessary to, the Company in its efforts to recover or recoup any award, any gains or earnings related to any award, or any other amount paid under the Plan or otherwise subject to clawback or recoupment pursuant to such laws, rules, regulations, stock exchange listing standards or Company policy. Such cooperation and assistance shall include, but is not limited to, executing, completing and submitting any documentation necessary to facilitate the recovery or recoupment by the Company from the Grantees of any such amounts, including from the Grantee’s accounts or from any other compensation, to the extent permissible under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360045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22" w:name="page23"/>
    <w:bookmarkEnd w:id="22"/>
    <w:p>
      <w:pPr>
        <w:ind w:left="-656" w:right="20" w:firstLine="656"/>
        <w:spacing w:after="0" w:line="270" w:lineRule="auto"/>
        <w:tabs>
          <w:tab w:leader="none" w:pos="66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Whistleblower Protection</w:t>
      </w:r>
      <w:r>
        <w:rPr>
          <w:rFonts w:ascii="Times New Roman" w:cs="Times New Roman" w:eastAsia="Times New Roman" w:hAnsi="Times New Roman"/>
          <w:sz w:val="17"/>
          <w:szCs w:val="17"/>
          <w:color w:val="auto"/>
        </w:rPr>
        <w:t>. Notwithstanding anything to the contrary in the Plan or an Award Agreement (or in any other agreement, contract or arrangement with the Company or its Subsidiaries or affiliates, or in any policy, procedure or practice of the Company or its Subsidiaries or affiliates (collectively, the “</w:t>
      </w:r>
      <w:r>
        <w:rPr>
          <w:rFonts w:ascii="Times New Roman" w:cs="Times New Roman" w:eastAsia="Times New Roman" w:hAnsi="Times New Roman"/>
          <w:sz w:val="17"/>
          <w:szCs w:val="17"/>
          <w:u w:val="single" w:color="auto"/>
          <w:color w:val="auto"/>
        </w:rPr>
        <w:t>Arrangements</w:t>
      </w:r>
      <w:r>
        <w:rPr>
          <w:rFonts w:ascii="Times New Roman" w:cs="Times New Roman" w:eastAsia="Times New Roman" w:hAnsi="Times New Roman"/>
          <w:sz w:val="17"/>
          <w:szCs w:val="17"/>
          <w:color w:val="auto"/>
        </w:rPr>
        <w:t>”)): (i) nothing in the Arrangements or otherwise limits a Grantee’s rights to any monetary award offered by a government-administered whistleblower award program for providing information directly to a government agency (including the Securities and Exchange Commission pursuant to Section 21F of the Exchange Act, the Dodd-Frank Wall Street Reform and Consumer Protection Act or the Sarbanes-Oxley Act of 2002); and (ii) nothing in the Arrangements or otherwise prevents a Grantee from, without prior notice to the Company, providing information (including documents) to governmental authorities or agencies regarding possible legal violations or otherwise testifying or participating in any investigation or proceeding by any governmental authorities or agencies regarding possible legal violations (for purpose of clarification, such Grantee is not prohibited from providing information (including documents) voluntarily to the Securities and Exchange Commission pursuant to Section 21F of the Exchange Act). The Company nonetheless asserts and does not waive its attorney-client privilege over any information appropriately protected by privilege.</w:t>
      </w:r>
    </w:p>
    <w:p>
      <w:pPr>
        <w:spacing w:after="0" w:line="176" w:lineRule="exact"/>
        <w:rPr>
          <w:rFonts w:ascii="Times New Roman" w:cs="Times New Roman" w:eastAsia="Times New Roman" w:hAnsi="Times New Roman"/>
          <w:sz w:val="17"/>
          <w:szCs w:val="17"/>
          <w:color w:val="auto"/>
        </w:rPr>
      </w:pPr>
    </w:p>
    <w:p>
      <w:pPr>
        <w:ind w:left="-656" w:right="20" w:firstLine="656"/>
        <w:spacing w:after="0" w:line="254" w:lineRule="auto"/>
        <w:tabs>
          <w:tab w:leader="none" w:pos="66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Obligation</w:t>
      </w:r>
      <w:r>
        <w:rPr>
          <w:rFonts w:ascii="Times New Roman" w:cs="Times New Roman" w:eastAsia="Times New Roman" w:hAnsi="Times New Roman"/>
          <w:sz w:val="18"/>
          <w:szCs w:val="18"/>
          <w:color w:val="auto"/>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spacing w:after="0" w:line="188" w:lineRule="exact"/>
        <w:rPr>
          <w:rFonts w:ascii="Times New Roman" w:cs="Times New Roman" w:eastAsia="Times New Roman" w:hAnsi="Times New Roman"/>
          <w:sz w:val="18"/>
          <w:szCs w:val="18"/>
          <w:color w:val="auto"/>
        </w:rPr>
      </w:pPr>
    </w:p>
    <w:p>
      <w:pPr>
        <w:ind w:left="-656" w:right="100" w:firstLine="656"/>
        <w:spacing w:after="0" w:line="266" w:lineRule="auto"/>
        <w:tabs>
          <w:tab w:leader="none" w:pos="66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5" w:lineRule="exact"/>
        <w:rPr>
          <w:rFonts w:ascii="Times New Roman" w:cs="Times New Roman" w:eastAsia="Times New Roman" w:hAnsi="Times New Roman"/>
          <w:sz w:val="18"/>
          <w:szCs w:val="18"/>
          <w:color w:val="auto"/>
        </w:rPr>
      </w:pPr>
    </w:p>
    <w:p>
      <w:pPr>
        <w:ind w:left="-656" w:firstLine="656"/>
        <w:spacing w:after="0" w:line="261" w:lineRule="auto"/>
        <w:tabs>
          <w:tab w:leader="none" w:pos="66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the Plan</w:t>
      </w:r>
      <w:r>
        <w:rPr>
          <w:rFonts w:ascii="Times New Roman" w:cs="Times New Roman" w:eastAsia="Times New Roman" w:hAnsi="Times New Roman"/>
          <w:sz w:val="18"/>
          <w:szCs w:val="18"/>
          <w:color w:val="auto"/>
        </w:rPr>
        <w:t>. Neither the adoption of the Plan by the Board, the submission of the Plan to the stockholders of the Company for approval, nor any provision of the Plan will be construed as creating any limitations on the power of the Board to adopt such additional compensation arrangements as it may deem desirable, including, without limitation, the granting of Awards otherwise than under the Plan, and such arrangements may be either generally applicable or applicable only in specific cases.</w:t>
      </w:r>
    </w:p>
    <w:sectPr>
      <w:pgSz w:w="11900" w:h="16838" w:orient="portrait"/>
      <w:cols w:equalWidth="0" w:num="1">
        <w:col w:w="10564"/>
      </w:cols>
      <w:pgMar w:left="976"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
    <w:nsid w:val="6763845E"/>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4">
    <w:nsid w:val="75A2A8D4"/>
    <w:multiLevelType w:val="hybridMultilevel"/>
    <w:lvl w:ilvl="0">
      <w:lvlJc w:val="left"/>
      <w:lvlText w:val="(%1)"/>
      <w:numFmt w:val="lowerLetter"/>
      <w:start w:val="10"/>
    </w:lvl>
  </w:abstractNum>
  <w:abstractNum w:abstractNumId="5">
    <w:nsid w:val="8EDBDA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
    <w:nsid w:val="79838CB2"/>
    <w:multiLevelType w:val="hybridMultilevel"/>
    <w:lvl w:ilvl="0">
      <w:lvlJc w:val="left"/>
      <w:lvlText w:val="(%1)"/>
      <w:numFmt w:val="lowerLetter"/>
      <w:start w:val="11"/>
    </w:lvl>
    <w:lvl w:ilvl="1">
      <w:lvlJc w:val="left"/>
      <w:lvlText w:val="(%2)"/>
      <w:numFmt w:val="lowerLetter"/>
      <w:start w:val="12"/>
    </w:lvl>
    <w:lvl w:ilvl="2">
      <w:lvlJc w:val="left"/>
      <w:lvlText w:val="%3"/>
      <w:numFmt w:val="lowerRoman"/>
      <w:start w:val="1"/>
    </w:lvl>
  </w:abstractNum>
  <w:abstractNum w:abstractNumId="7">
    <w:nsid w:val="4353D0CD"/>
    <w:multiLevelType w:val="hybridMultilevel"/>
    <w:lvl w:ilvl="0">
      <w:lvlJc w:val="left"/>
      <w:lvlText w:val="(%1)"/>
      <w:numFmt w:val="lowerLetter"/>
      <w:start w:val="13"/>
    </w:lvl>
  </w:abstractNum>
  <w:abstractNum w:abstractNumId="8">
    <w:nsid w:val="B03E0C6"/>
    <w:multiLevelType w:val="hybridMultilevel"/>
    <w:lvl w:ilvl="0">
      <w:lvlJc w:val="left"/>
      <w:lvlText w:val="%1"/>
      <w:numFmt w:val="lowerLetter"/>
      <w:start w:val="1"/>
    </w:lvl>
    <w:lvl w:ilvl="1">
      <w:lvlJc w:val="left"/>
      <w:lvlText w:val="(%2)"/>
      <w:numFmt w:val="lowerLetter"/>
      <w:start w:val="17"/>
    </w:lvl>
    <w:lvl w:ilvl="2">
      <w:lvlJc w:val="left"/>
      <w:lvlText w:val="%3"/>
      <w:numFmt w:val="lowerRoman"/>
      <w:start w:val="1"/>
    </w:lvl>
  </w:abstractNum>
  <w:abstractNum w:abstractNumId="9">
    <w:nsid w:val="189A769B"/>
    <w:multiLevelType w:val="hybridMultilevel"/>
    <w:lvl w:ilvl="0">
      <w:lvlJc w:val="left"/>
      <w:lvlText w:val="(%1)"/>
      <w:numFmt w:val="lowerLetter"/>
      <w:start w:val="61"/>
    </w:lvl>
    <w:lvl w:ilvl="1">
      <w:lvlJc w:val="left"/>
      <w:lvlText w:val="(%2)"/>
      <w:numFmt w:val="lowerLetter"/>
      <w:start w:val="18"/>
    </w:lvl>
    <w:lvl w:ilvl="2">
      <w:lvlJc w:val="left"/>
      <w:lvlText w:val="(%3)"/>
      <w:numFmt w:val="lowerRoman"/>
      <w:start w:val="1"/>
    </w:lvl>
  </w:abstractNum>
  <w:abstractNum w:abstractNumId="10">
    <w:nsid w:val="54E49EB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11">
    <w:nsid w:val="71F32454"/>
    <w:multiLevelType w:val="hybridMultilevel"/>
    <w:lvl w:ilvl="0">
      <w:lvlJc w:val="left"/>
      <w:lvlText w:val="%1"/>
      <w:numFmt w:val="lowerLetter"/>
      <w:start w:val="1"/>
    </w:lvl>
    <w:lvl w:ilvl="1">
      <w:lvlJc w:val="left"/>
      <w:lvlText w:val="(%2)"/>
      <w:numFmt w:val="lowerLetter"/>
      <w:start w:val="19"/>
    </w:lvl>
    <w:lvl w:ilvl="2">
      <w:lvlJc w:val="left"/>
      <w:lvlText w:val="%3"/>
      <w:numFmt w:val="lowerLetter"/>
      <w:start w:val="1"/>
    </w:lvl>
  </w:abstractNum>
  <w:abstractNum w:abstractNumId="12">
    <w:nsid w:val="2CA88611"/>
    <w:multiLevelType w:val="hybridMultilevel"/>
    <w:lvl w:ilvl="0">
      <w:lvlJc w:val="left"/>
      <w:lvlText w:val="(%1)"/>
      <w:numFmt w:val="lowerLetter"/>
      <w:start w:val="20"/>
    </w:lvl>
    <w:lvl w:ilvl="1">
      <w:lvlJc w:val="left"/>
      <w:lvlText w:val="%2"/>
      <w:numFmt w:val="lowerLetter"/>
      <w:start w:val="1"/>
    </w:lvl>
    <w:lvl w:ilvl="2">
      <w:lvlJc w:val="left"/>
      <w:lvlText w:val="(%3)"/>
      <w:numFmt w:val="lowerLetter"/>
      <w:start w:val="9"/>
    </w:lvl>
  </w:abstractNum>
  <w:abstractNum w:abstractNumId="13">
    <w:nsid w:val="836C40E"/>
    <w:multiLevelType w:val="hybridMultilevel"/>
    <w:lvl w:ilvl="0">
      <w:lvlJc w:val="left"/>
      <w:lvlText w:val="%1"/>
      <w:numFmt w:val="lowerLetter"/>
      <w:start w:val="1"/>
    </w:lvl>
    <w:lvl w:ilvl="1">
      <w:lvlJc w:val="left"/>
      <w:lvlText w:val="(%2)"/>
      <w:numFmt w:val="lowerRoman"/>
      <w:start w:val="2"/>
    </w:lvl>
  </w:abstractNum>
  <w:abstractNum w:abstractNumId="14">
    <w:nsid w:val="2901D82"/>
    <w:multiLevelType w:val="hybridMultilevel"/>
    <w:lvl w:ilvl="0">
      <w:lvlJc w:val="left"/>
      <w:lvlText w:val="(%1)"/>
      <w:numFmt w:val="lowerLetter"/>
      <w:start w:val="26"/>
    </w:lvl>
    <w:lvl w:ilvl="1">
      <w:lvlJc w:val="left"/>
      <w:lvlText w:val="(%2)"/>
      <w:numFmt w:val="lowerRoman"/>
      <w:start w:val="1"/>
    </w:lvl>
  </w:abstractNum>
  <w:abstractNum w:abstractNumId="15">
    <w:nsid w:val="3A95F874"/>
    <w:multiLevelType w:val="hybridMultilevel"/>
    <w:lvl w:ilvl="0">
      <w:lvlJc w:val="left"/>
      <w:lvlText w:val="(%1)"/>
      <w:numFmt w:val="lowerLetter"/>
      <w:start w:val="27"/>
    </w:lvl>
  </w:abstractNum>
  <w:abstractNum w:abstractNumId="16">
    <w:nsid w:val="8138641"/>
    <w:multiLevelType w:val="hybridMultilevel"/>
    <w:lvl w:ilvl="0">
      <w:lvlJc w:val="left"/>
      <w:lvlText w:val="(%1)"/>
      <w:numFmt w:val="lowerLetter"/>
      <w:start w:val="29"/>
    </w:lvl>
  </w:abstractNum>
  <w:abstractNum w:abstractNumId="17">
    <w:nsid w:val="1E7FF521"/>
    <w:multiLevelType w:val="hybridMultilevel"/>
    <w:lvl w:ilvl="0">
      <w:lvlJc w:val="left"/>
      <w:lvlText w:val="(%1)"/>
      <w:numFmt w:val="lowerLetter"/>
      <w:start w:val="30"/>
    </w:lvl>
    <w:lvl w:ilvl="1">
      <w:lvlJc w:val="left"/>
      <w:lvlText w:val="(%2)"/>
      <w:numFmt w:val="lowerLetter"/>
      <w:start w:val="32"/>
    </w:lvl>
  </w:abstractNum>
  <w:abstractNum w:abstractNumId="18">
    <w:nsid w:val="7C3DBD3D"/>
    <w:multiLevelType w:val="hybridMultilevel"/>
    <w:lvl w:ilvl="0">
      <w:lvlJc w:val="left"/>
      <w:lvlText w:val="(%1)"/>
      <w:numFmt w:val="lowerLetter"/>
      <w:start w:val="35"/>
    </w:lvl>
  </w:abstractNum>
  <w:abstractNum w:abstractNumId="19">
    <w:nsid w:val="737B8DDC"/>
    <w:multiLevelType w:val="hybridMultilevel"/>
    <w:lvl w:ilvl="0">
      <w:lvlJc w:val="left"/>
      <w:lvlText w:val="%1"/>
      <w:numFmt w:val="decimal"/>
      <w:start w:val="1"/>
    </w:lvl>
    <w:lvl w:ilvl="1">
      <w:lvlJc w:val="left"/>
      <w:lvlText w:val="(%2)"/>
      <w:numFmt w:val="lowerLetter"/>
      <w:start w:val="41"/>
    </w:lvl>
    <w:lvl w:ilvl="2">
      <w:lvlJc w:val="left"/>
      <w:lvlText w:val="%3"/>
      <w:numFmt w:val="lowerRoman"/>
      <w:start w:val="1"/>
    </w:lvl>
  </w:abstractNum>
  <w:abstractNum w:abstractNumId="20">
    <w:nsid w:val="6CEAF08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
    <w:nsid w:val="22221A70"/>
    <w:multiLevelType w:val="hybridMultilevel"/>
    <w:lvl w:ilvl="0">
      <w:lvlJc w:val="left"/>
      <w:lvlText w:val="%1"/>
      <w:numFmt w:val="lowerLetter"/>
      <w:start w:val="1"/>
    </w:lvl>
    <w:lvl w:ilvl="1">
      <w:lvlJc w:val="left"/>
      <w:lvlText w:val="(%2)"/>
      <w:numFmt w:val="lowerRoman"/>
      <w:start w:val="3"/>
    </w:lvl>
  </w:abstractNum>
  <w:abstractNum w:abstractNumId="22">
    <w:nsid w:val="4516DDE9"/>
    <w:multiLevelType w:val="hybridMultilevel"/>
    <w:lvl w:ilvl="0">
      <w:lvlJc w:val="left"/>
      <w:lvlText w:val="(%1)"/>
      <w:numFmt w:val="lowerLetter"/>
      <w:start w:val="2"/>
    </w:lvl>
    <w:lvl w:ilvl="1">
      <w:lvlJc w:val="left"/>
      <w:lvlText w:val="(%2)"/>
      <w:numFmt w:val="lowerRoman"/>
      <w:start w:val="1"/>
    </w:lvl>
  </w:abstractNum>
  <w:abstractNum w:abstractNumId="23">
    <w:nsid w:val="3006C83E"/>
    <w:multiLevelType w:val="hybridMultilevel"/>
    <w:lvl w:ilvl="0">
      <w:lvlJc w:val="left"/>
      <w:lvlText w:val="(%1)"/>
      <w:numFmt w:val="lowerRoman"/>
      <w:start w:val="8"/>
    </w:lvl>
  </w:abstractNum>
  <w:abstractNum w:abstractNumId="24">
    <w:nsid w:val="614FD4A1"/>
    <w:multiLevelType w:val="hybridMultilevel"/>
    <w:lvl w:ilvl="0">
      <w:lvlJc w:val="left"/>
      <w:lvlText w:val="%1"/>
      <w:numFmt w:val="decimal"/>
      <w:start w:val="1"/>
    </w:lvl>
    <w:lvl w:ilvl="1">
      <w:lvlJc w:val="left"/>
      <w:lvlText w:val="(%2)"/>
      <w:numFmt w:val="lowerLetter"/>
      <w:start w:val="3"/>
    </w:lvl>
  </w:abstractNum>
  <w:abstractNum w:abstractNumId="25">
    <w:nsid w:val="419AC241"/>
    <w:multiLevelType w:val="hybridMultilevel"/>
    <w:lvl w:ilvl="0">
      <w:lvlJc w:val="left"/>
      <w:lvlText w:val="%1."/>
      <w:numFmt w:val="decimal"/>
      <w:start w:val="5"/>
    </w:lvl>
    <w:lvl w:ilvl="1">
      <w:lvlJc w:val="left"/>
      <w:lvlText w:val="%2"/>
      <w:numFmt w:val="lowerLetter"/>
      <w:start w:val="1"/>
    </w:lvl>
  </w:abstractNum>
  <w:abstractNum w:abstractNumId="26">
    <w:nsid w:val="5577F8E1"/>
    <w:multiLevelType w:val="hybridMultilevel"/>
    <w:lvl w:ilvl="0">
      <w:lvlJc w:val="left"/>
      <w:lvlText w:val="%1."/>
      <w:numFmt w:val="decimal"/>
      <w:start w:val="6"/>
    </w:lvl>
    <w:lvl w:ilvl="1">
      <w:lvlJc w:val="left"/>
      <w:lvlText w:val="(%2)"/>
      <w:numFmt w:val="lowerLetter"/>
      <w:start w:val="1"/>
    </w:lvl>
  </w:abstractNum>
  <w:abstractNum w:abstractNumId="27">
    <w:nsid w:val="440BADFC"/>
    <w:multiLevelType w:val="hybridMultilevel"/>
    <w:lvl w:ilvl="0">
      <w:lvlJc w:val="left"/>
      <w:lvlText w:val="(%1)"/>
      <w:numFmt w:val="lowerLetter"/>
      <w:start w:val="4"/>
    </w:lvl>
    <w:lvl w:ilvl="1">
      <w:lvlJc w:val="left"/>
      <w:lvlText w:val="(%2)"/>
      <w:numFmt w:val="lowerLetter"/>
      <w:start w:val="9"/>
    </w:lvl>
  </w:abstractNum>
  <w:abstractNum w:abstractNumId="28">
    <w:nsid w:val="5072367"/>
    <w:multiLevelType w:val="hybridMultilevel"/>
    <w:lvl w:ilvl="0">
      <w:lvlJc w:val="left"/>
      <w:lvlText w:val="%1"/>
      <w:numFmt w:val="lowerLetter"/>
      <w:start w:val="1"/>
    </w:lvl>
    <w:lvl w:ilvl="1">
      <w:lvlJc w:val="left"/>
      <w:lvlText w:val="(%2)"/>
      <w:numFmt w:val="lowerRoman"/>
      <w:start w:val="2"/>
    </w:lvl>
  </w:abstractNum>
  <w:abstractNum w:abstractNumId="29">
    <w:nsid w:val="3804823E"/>
    <w:multiLevelType w:val="hybridMultilevel"/>
    <w:lvl w:ilvl="0">
      <w:lvlJc w:val="left"/>
      <w:lvlText w:val="(%1)"/>
      <w:numFmt w:val="lowerLetter"/>
      <w:start w:val="8"/>
    </w:lvl>
    <w:lvl w:ilvl="1">
      <w:lvlJc w:val="left"/>
      <w:lvlText w:val="%2"/>
      <w:numFmt w:val="lowerRoman"/>
      <w:start w:val="1"/>
    </w:lvl>
  </w:abstractNum>
  <w:abstractNum w:abstractNumId="30">
    <w:nsid w:val="77465F01"/>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upperLetter"/>
      <w:start w:val="1"/>
    </w:lvl>
  </w:abstractNum>
  <w:abstractNum w:abstractNumId="31">
    <w:nsid w:val="7724C67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2">
    <w:nsid w:val="5C482A97"/>
    <w:multiLevelType w:val="hybridMultilevel"/>
    <w:lvl w:ilvl="0">
      <w:lvlJc w:val="left"/>
      <w:lvlText w:val="%1"/>
      <w:numFmt w:val="lowerLetter"/>
      <w:start w:val="1"/>
    </w:lvl>
    <w:lvl w:ilvl="1">
      <w:lvlJc w:val="left"/>
      <w:lvlText w:val="(%2)"/>
      <w:numFmt w:val="lowerRoman"/>
      <w:start w:val="3"/>
    </w:lvl>
  </w:abstractNum>
  <w:abstractNum w:abstractNumId="33">
    <w:nsid w:val="2463B9EA"/>
    <w:multiLevelType w:val="hybridMultilevel"/>
    <w:lvl w:ilvl="0">
      <w:lvlJc w:val="left"/>
      <w:lvlText w:val="(%1)"/>
      <w:numFmt w:val="lowerLetter"/>
      <w:start w:val="2"/>
    </w:lvl>
    <w:lvl w:ilvl="1">
      <w:lvlJc w:val="left"/>
      <w:lvlText w:val="(%2)"/>
      <w:numFmt w:val="lowerRoman"/>
      <w:start w:val="1"/>
    </w:lvl>
  </w:abstractNum>
  <w:abstractNum w:abstractNumId="34">
    <w:nsid w:val="5E884ADC"/>
    <w:multiLevelType w:val="hybridMultilevel"/>
    <w:lvl w:ilvl="0">
      <w:lvlJc w:val="left"/>
      <w:lvlText w:val="(%1)"/>
      <w:numFmt w:val="lowerRoman"/>
      <w:start w:val="6"/>
    </w:lvl>
  </w:abstractNum>
  <w:abstractNum w:abstractNumId="35">
    <w:nsid w:val="51EAD36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6">
    <w:nsid w:val="2D51779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7">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8">
    <w:nsid w:val="153EA438"/>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39">
    <w:nsid w:val="3855585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0">
    <w:nsid w:val="70A64E2A"/>
    <w:multiLevelType w:val="hybridMultilevel"/>
    <w:lvl w:ilvl="0">
      <w:lvlJc w:val="left"/>
      <w:lvlText w:val="%1."/>
      <w:numFmt w:val="decimal"/>
      <w:start w:val="13"/>
    </w:lvl>
    <w:lvl w:ilvl="1">
      <w:lvlJc w:val="left"/>
      <w:lvlText w:val="(%2)"/>
      <w:numFmt w:val="lowerLetter"/>
      <w:start w:val="1"/>
    </w:lvl>
  </w:abstractNum>
  <w:abstractNum w:abstractNumId="41">
    <w:nsid w:val="6A2342EC"/>
    <w:multiLevelType w:val="hybridMultilevel"/>
    <w:lvl w:ilvl="0">
      <w:lvlJc w:val="left"/>
      <w:lvlText w:val="%1."/>
      <w:numFmt w:val="decimal"/>
      <w:start w:val="15"/>
    </w:lvl>
  </w:abstractNum>
  <w:abstractNum w:abstractNumId="42">
    <w:nsid w:val="2A487CB0"/>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2026-06-15T05:40:12Z</dcterms:created>
  <dcterms:modified xsi:type="dcterms:W3CDTF">2026-06-15T05:40:12Z</dcterms:modified>
</cp:coreProperties>
</file>