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2226.htm"/>
      <w:bookmarkStart w:id="1" w:name="ksf8k_092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22, 2026</w:t>
      </w:r>
    </w:p>
    <w:p>
      <w:pPr>
        <w:pStyle w:val="TextBody"/>
        <w:bidi w:val="0"/>
        <w:jc w:val="center"/>
        <w:rPr/>
      </w:pPr>
      <w:r>
        <w:rPr/>
        <w:t>_______________________________</w:t>
      </w:r>
    </w:p>
    <w:p>
      <w:pPr>
        <w:pStyle w:val="TextBody"/>
        <w:bidi w:val="0"/>
        <w:spacing w:before="120" w:after="283"/>
        <w:jc w:val="center"/>
        <w:rPr>
          <w:b/>
          <w:sz w:val="24"/>
        </w:rPr>
      </w:pPr>
      <w:r>
        <w:rPr>
          <w:b/>
          <w:sz w:val="24"/>
        </w:rPr>
        <w:t>Filana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 xml:space="preserve">Delaware </w:t>
            </w:r>
          </w:p>
        </w:tc>
        <w:tc>
          <w:tcPr>
            <w:tcW w:w="2210" w:type="dxa"/>
            <w:tcBorders/>
            <w:vAlign w:val="center"/>
          </w:tcPr>
          <w:p>
            <w:pPr>
              <w:pStyle w:val="TableContents"/>
              <w:bidi w:val="0"/>
              <w:spacing w:before="0" w:after="283"/>
              <w:jc w:val="center"/>
              <w:rPr>
                <w:b/>
                <w:sz w:val="20"/>
              </w:rPr>
            </w:pPr>
            <w:r>
              <w:rPr>
                <w:b/>
                <w:sz w:val="20"/>
              </w:rPr>
              <w:t>001-41905</w:t>
            </w:r>
          </w:p>
        </w:tc>
        <w:tc>
          <w:tcPr>
            <w:tcW w:w="2900" w:type="dxa"/>
            <w:tcBorders/>
            <w:vAlign w:val="center"/>
          </w:tcPr>
          <w:p>
            <w:pPr>
              <w:pStyle w:val="TableContents"/>
              <w:bidi w:val="0"/>
              <w:spacing w:before="0" w:after="283"/>
              <w:jc w:val="center"/>
              <w:rPr>
                <w:b/>
                <w:sz w:val="20"/>
              </w:rPr>
            </w:pPr>
            <w:r>
              <w:rPr>
                <w:b/>
                <w:sz w:val="20"/>
              </w:rPr>
              <w:t>91-1911336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6801 N Capital of Texas Highway, Building 1; Suite 300</w:t>
      </w:r>
    </w:p>
    <w:p>
      <w:pPr>
        <w:pStyle w:val="TextBody"/>
        <w:bidi w:val="0"/>
        <w:spacing w:before="0" w:after="0"/>
        <w:jc w:val="center"/>
        <w:rPr>
          <w:b/>
          <w:sz w:val="20"/>
        </w:rPr>
      </w:pPr>
      <w:r>
        <w:rPr>
          <w:b/>
          <w:sz w:val="20"/>
        </w:rPr>
        <w:t>Austin, Texas 78731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(512) 501-2444</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xml:space="preserve">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845" w:type="dxa"/>
        <w:jc w:val="left"/>
        <w:tblInd w:w="0" w:type="dxa"/>
        <w:tblLayout w:type="fixed"/>
        <w:tblCellMar>
          <w:top w:w="0" w:type="dxa"/>
          <w:left w:w="0" w:type="dxa"/>
          <w:bottom w:w="28" w:type="dxa"/>
          <w:right w:w="0" w:type="dxa"/>
        </w:tblCellMar>
      </w:tblPr>
      <w:tblGrid>
        <w:gridCol w:w="2735"/>
        <w:gridCol w:w="1535"/>
        <w:gridCol w:w="3575"/>
      </w:tblGrid>
      <w:tr>
        <w:trPr/>
        <w:tc>
          <w:tcPr>
            <w:tcW w:w="273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sz w:val="20"/>
              </w:rPr>
            </w:pPr>
            <w:r>
              <w:rPr>
                <w:sz w:val="20"/>
              </w:rPr>
              <w:t>Common Stock, $0.001 par value</w:t>
            </w:r>
          </w:p>
        </w:tc>
        <w:tc>
          <w:tcPr>
            <w:tcW w:w="1535" w:type="dxa"/>
            <w:tcBorders/>
            <w:tcMar>
              <w:bottom w:w="0" w:type="dxa"/>
            </w:tcMar>
            <w:vAlign w:val="center"/>
          </w:tcPr>
          <w:p>
            <w:pPr>
              <w:pStyle w:val="TableContents"/>
              <w:bidi w:val="0"/>
              <w:spacing w:before="0" w:after="283"/>
              <w:jc w:val="center"/>
              <w:rPr>
                <w:sz w:val="20"/>
              </w:rPr>
            </w:pPr>
            <w:r>
              <w:rPr>
                <w:sz w:val="20"/>
              </w:rPr>
              <w:t>FLNA</w:t>
            </w:r>
          </w:p>
        </w:tc>
        <w:tc>
          <w:tcPr>
            <w:tcW w:w="3575" w:type="dxa"/>
            <w:tcBorders/>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rStyle w:val="StrongEmphasis"/>
        </w:rPr>
        <w:t> </w:t>
      </w:r>
    </w:p>
    <w:p>
      <w:pPr>
        <w:pStyle w:val="TextBody"/>
        <w:bidi w:val="0"/>
        <w:ind w:left="0" w:right="0" w:firstLine="660"/>
        <w:jc w:val="left"/>
        <w:rPr>
          <w:sz w:val="20"/>
        </w:rPr>
      </w:pPr>
      <w:r>
        <w:rPr>
          <w:sz w:val="20"/>
        </w:rPr>
        <w:t>On September 22, 2026, Filana Therapeutics, Inc. (the “Company”) issued a press release related to the matters described in Item 8.01 of this Current Report on Form 8-K. A copy of the press release is attached as Exhibit 99.1 and incorporated into this Item 7.01 by reference.</w:t>
      </w:r>
    </w:p>
    <w:p>
      <w:pPr>
        <w:pStyle w:val="TextBody"/>
        <w:bidi w:val="0"/>
        <w:ind w:left="0" w:right="0" w:firstLine="660"/>
        <w:jc w:val="left"/>
        <w:rPr/>
      </w:pPr>
      <w:r>
        <w:rPr/>
        <w:t> </w:t>
      </w:r>
    </w:p>
    <w:p>
      <w:pPr>
        <w:pStyle w:val="TextBody"/>
        <w:bidi w:val="0"/>
        <w:ind w:left="0" w:right="0" w:firstLine="660"/>
        <w:jc w:val="left"/>
        <w:rPr>
          <w:sz w:val="20"/>
        </w:rPr>
      </w:pPr>
      <w:r>
        <w:rPr>
          <w:sz w:val="20"/>
        </w:rPr>
        <w:t>The information in this Item 7.01 (including Exhibit 99.1) is being furnished pursuant to Item 7.01 and shall not be deemed to be “filed” for the purposes of Section 18 of the Securities Exchange Act of 1934, as amended (the “Exchange Act”), or otherwise subject to the liabilities of that section, nor shall such information be deemed to be incorporated by reference into any filing under the Securities Act of 1933, as amended, or the Exchange Act, except as shall be expressly set forth by specific references in such a filing.</w:t>
      </w:r>
    </w:p>
    <w:p>
      <w:pPr>
        <w:pStyle w:val="TextBody"/>
        <w:bidi w:val="0"/>
        <w:spacing w:before="0" w:after="283"/>
        <w:jc w:val="left"/>
        <w:rPr/>
      </w:pPr>
      <w:r>
        <w:rPr>
          <w:rStyle w:val="StrongEmphasis"/>
        </w:rPr>
        <w:t> </w:t>
      </w:r>
    </w:p>
    <w:p>
      <w:pPr>
        <w:pStyle w:val="TextBody"/>
        <w:bidi w:val="0"/>
        <w:spacing w:before="0" w:after="283"/>
        <w:jc w:val="left"/>
        <w:rPr/>
      </w:pPr>
      <w:r>
        <w:rPr>
          <w:rStyle w:val="StrongEmphasis"/>
          <w:sz w:val="20"/>
        </w:rPr>
        <w:t>Item 8.01. Other Events.</w:t>
      </w:r>
    </w:p>
    <w:p>
      <w:pPr>
        <w:pStyle w:val="TextBody"/>
        <w:bidi w:val="0"/>
        <w:spacing w:before="0" w:after="283"/>
        <w:jc w:val="left"/>
        <w:rPr/>
      </w:pPr>
      <w:r>
        <w:rPr>
          <w:rStyle w:val="StrongEmphasis"/>
        </w:rPr>
        <w:t> </w:t>
      </w:r>
    </w:p>
    <w:p>
      <w:pPr>
        <w:pStyle w:val="TextBody"/>
        <w:bidi w:val="0"/>
        <w:ind w:left="0" w:right="0" w:firstLine="660"/>
        <w:jc w:val="left"/>
        <w:rPr/>
      </w:pPr>
      <w:r>
        <w:rPr>
          <w:rStyle w:val="Emphasis"/>
          <w:sz w:val="20"/>
        </w:rPr>
        <w:t>FDA Clinical Hold Lifted</w:t>
      </w:r>
    </w:p>
    <w:p>
      <w:pPr>
        <w:pStyle w:val="TextBody"/>
        <w:bidi w:val="0"/>
        <w:ind w:left="0" w:right="0" w:firstLine="660"/>
        <w:jc w:val="left"/>
        <w:rPr/>
      </w:pPr>
      <w:r>
        <w:rPr>
          <w:rStyle w:val="Emphasis"/>
        </w:rPr>
        <w:t> </w:t>
      </w:r>
    </w:p>
    <w:p>
      <w:pPr>
        <w:pStyle w:val="TextBody"/>
        <w:bidi w:val="0"/>
        <w:ind w:left="0" w:right="0" w:firstLine="660"/>
        <w:jc w:val="left"/>
        <w:rPr>
          <w:sz w:val="20"/>
        </w:rPr>
      </w:pPr>
      <w:r>
        <w:rPr>
          <w:sz w:val="20"/>
        </w:rPr>
        <w:t>On September 22, 2026, the Company announced that the U.S. Food and Drug Administration has lifted the full clinical hold on the Company’s investigational new drug (IND) application to initiate a planned Phase 2a proof-of-concept study for simufilam in tuberous sclerosis complex (“TSC”)-related epilepsy.</w:t>
      </w:r>
    </w:p>
    <w:p>
      <w:pPr>
        <w:pStyle w:val="TextBody"/>
        <w:bidi w:val="0"/>
        <w:ind w:left="0" w:right="0" w:firstLine="660"/>
        <w:jc w:val="left"/>
        <w:rPr/>
      </w:pPr>
      <w:r>
        <w:rPr/>
        <w:t> </w:t>
      </w:r>
    </w:p>
    <w:p>
      <w:pPr>
        <w:pStyle w:val="TextBody"/>
        <w:bidi w:val="0"/>
        <w:ind w:left="0" w:right="0" w:firstLine="660"/>
        <w:jc w:val="left"/>
        <w:rPr/>
      </w:pPr>
      <w:r>
        <w:rPr>
          <w:rStyle w:val="Emphasis"/>
          <w:sz w:val="20"/>
        </w:rPr>
        <w:t>Planned Phase 2a Trial Design</w:t>
      </w:r>
    </w:p>
    <w:p>
      <w:pPr>
        <w:pStyle w:val="TextBody"/>
        <w:bidi w:val="0"/>
        <w:ind w:left="0" w:right="0" w:firstLine="660"/>
        <w:jc w:val="left"/>
        <w:rPr/>
      </w:pPr>
      <w:r>
        <w:rPr/>
        <w:t> </w:t>
      </w:r>
    </w:p>
    <w:p>
      <w:pPr>
        <w:pStyle w:val="TextBody"/>
        <w:bidi w:val="0"/>
        <w:ind w:left="0" w:right="0" w:firstLine="660"/>
        <w:jc w:val="left"/>
        <w:rPr>
          <w:sz w:val="20"/>
        </w:rPr>
      </w:pPr>
      <w:r>
        <w:rPr>
          <w:sz w:val="20"/>
        </w:rPr>
        <w:t>During the course of the clinical hold, the Company completed key trial-readiness activities, including engaging a leading clinical research organization, identifying clinical trial sites, and recruiting potential investigators. With investigational drug supply in place, implementation of the Company’s phase 2a study of simufilam is now able to progress expeditiously toward site initiation and patient enrollment. Patient screening is expected to begin by the first quarter of 2027.</w:t>
      </w:r>
    </w:p>
    <w:p>
      <w:pPr>
        <w:pStyle w:val="TextBody"/>
        <w:bidi w:val="0"/>
        <w:ind w:left="0" w:right="0" w:firstLine="660"/>
        <w:jc w:val="left"/>
        <w:rPr/>
      </w:pPr>
      <w:r>
        <w:rPr/>
        <w:t> </w:t>
      </w:r>
    </w:p>
    <w:p>
      <w:pPr>
        <w:pStyle w:val="TextBody"/>
        <w:bidi w:val="0"/>
        <w:ind w:left="0" w:right="0" w:firstLine="660"/>
        <w:jc w:val="left"/>
        <w:rPr>
          <w:sz w:val="20"/>
        </w:rPr>
      </w:pPr>
      <w:r>
        <w:rPr>
          <w:sz w:val="20"/>
        </w:rPr>
        <w:t>Filana’s Phase 2a study is a 16-week multicenter, randomized, double-blind clinical trial to evaluate two doses of simufilam in patients with refractory TSC-related seizures. The study is planned to be conducted at 13 sites in the U.S. with a target enrollment of 40 subjects aged 12 to 55. All subjects who complete the double-blind treatment phase are eligible to participate in a 48-week extension study.</w:t>
      </w:r>
    </w:p>
    <w:p>
      <w:pPr>
        <w:pStyle w:val="TextBody"/>
        <w:bidi w:val="0"/>
        <w:ind w:left="0" w:right="0" w:firstLine="660"/>
        <w:jc w:val="left"/>
        <w:rPr/>
      </w:pPr>
      <w:r>
        <w:rPr/>
        <w:t> </w:t>
      </w:r>
    </w:p>
    <w:p>
      <w:pPr>
        <w:pStyle w:val="TextBody"/>
        <w:bidi w:val="0"/>
        <w:ind w:left="0" w:right="0" w:firstLine="660"/>
        <w:jc w:val="left"/>
        <w:rPr>
          <w:sz w:val="20"/>
        </w:rPr>
      </w:pPr>
      <w:r>
        <w:rPr>
          <w:sz w:val="20"/>
        </w:rPr>
        <w:t>The study is designed to assess safety, tolerability, pharmacokinetics, and seizure-related measures, including seizure frequency, seizure intensity and duration, nighttime seizures, and sleep-related outcomes. Data from the study are expected to help inform the development path for simufilam in TSC-related epilepsy, including the design of future studies in younger patient populations.</w:t>
      </w:r>
    </w:p>
    <w:p>
      <w:pPr>
        <w:pStyle w:val="TextBody"/>
        <w:bidi w:val="0"/>
        <w:ind w:left="160" w:right="0" w:firstLine="720"/>
        <w:jc w:val="left"/>
        <w:rPr/>
      </w:pPr>
      <w:r>
        <w:rPr/>
        <w:t> </w:t>
      </w:r>
    </w:p>
    <w:p>
      <w:pPr>
        <w:pStyle w:val="TextBody"/>
        <w:bidi w:val="0"/>
        <w:spacing w:before="0" w:after="283"/>
        <w:jc w:val="left"/>
        <w:rPr/>
      </w:pPr>
      <w:r>
        <w:rPr>
          <w:rStyle w:val="Emphasis"/>
          <w:sz w:val="20"/>
        </w:rPr>
        <w:t xml:space="preserve">Cautionary Note Regarding Forward-Looking Statements: </w:t>
      </w:r>
    </w:p>
    <w:p>
      <w:pPr>
        <w:pStyle w:val="TextBody"/>
        <w:bidi w:val="0"/>
        <w:ind w:left="0" w:right="0" w:firstLine="660"/>
        <w:jc w:val="left"/>
        <w:rPr/>
      </w:pPr>
      <w:r>
        <w:rPr/>
        <w:t> </w:t>
      </w:r>
    </w:p>
    <w:p>
      <w:pPr>
        <w:pStyle w:val="TextBody"/>
        <w:bidi w:val="0"/>
        <w:ind w:left="0" w:right="0" w:firstLine="660"/>
        <w:jc w:val="left"/>
        <w:rPr>
          <w:sz w:val="20"/>
        </w:rPr>
      </w:pPr>
      <w:r>
        <w:rPr>
          <w:sz w:val="20"/>
        </w:rPr>
        <w:t>This report contains forward-looking statements that may include but are not limited to statements regarding: the timing and plans to initiate and conduct clinical studies with simufilam in TSC-related epilepsy; the design, structure, duration, objectives, endpoints, patient population, conduct, enrollment, completion, and potential results of the Company’s planned Phase 2a clinical trial; the Company’s ability to work with clinical research organizations, clinical sites, patient advocacy organizations, and the TSC community to advance the trial efficiently; the potential for simufilam as a treatment for TSC-related epilepsy and other potential indications; and the timing of anticipated milestones, including announcing study sites and screening patients. These statements may be identified by words such as “anticipate”, “before”, “believe”, “could”, “expect”, “forecast”, “intend”, “may”, ”pending”, “plan”, “possible”, “potential”, “prepares for”, “will”, and other words and terms of similar meaning.</w:t>
      </w:r>
    </w:p>
    <w:p>
      <w:pPr>
        <w:pStyle w:val="TextBody"/>
        <w:bidi w:val="0"/>
        <w:ind w:left="0" w:right="0" w:firstLine="660"/>
        <w:jc w:val="left"/>
        <w:rPr/>
      </w:pPr>
      <w:r>
        <w:rPr/>
        <w:t> </w:t>
      </w:r>
    </w:p>
    <w:p>
      <w:pPr>
        <w:pStyle w:val="TextBody"/>
        <w:bidi w:val="0"/>
        <w:ind w:left="0" w:right="0" w:firstLine="660"/>
        <w:jc w:val="left"/>
        <w:rPr>
          <w:sz w:val="20"/>
        </w:rPr>
      </w:pPr>
      <w:r>
        <w:rPr>
          <w:sz w:val="20"/>
        </w:rPr>
        <w:t>Such statements are based on the Company’s current expectations and projections about future events. Such statements speak only as of the date of this news release and are subject to a number of risks, uncertainties and assumptions, including, but not limited to, those risks relating to the Company’s ability to initiate, enroll, conduct, and complete the planned Phase 2a study of simufilam in TSC-related epilepsy; the Company’s ability to engage clinical trial sites and participants; ability to work effectively with clinical research organizations, vendors, investigators, patient advocacy organizations, and the TSC community; potential changes to the clinical trial protocol, trial design, endpoints, timing, patient population, or development plans; the Company’s ability to generate clinical data that support further development of simufilam; risks inherent in drug discovery and development; and other risks specific to Filana Therapeutics, Inc., as described in the section entitled “Risk Factors” in the Company’s Annual Report on Form 10-K for the year ended December 31, 2025 and subsequent reports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the Company’s business, investors should consult the Company’s filings with the SEC, which are available on the SEC's website at www.sec.gov.</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ind w:left="160" w:right="0" w:hanging="0"/>
        <w:jc w:val="left"/>
        <w:rPr>
          <w:sz w:val="20"/>
        </w:rPr>
      </w:pPr>
      <w:r>
        <w:rPr>
          <w:sz w:val="20"/>
        </w:rPr>
        <w:t>The following exhibits are being furnished as part of this report.</w:t>
      </w:r>
    </w:p>
    <w:p>
      <w:pPr>
        <w:pStyle w:val="TextBody"/>
        <w:bidi w:val="0"/>
        <w:spacing w:before="0" w:after="283"/>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issued by Filana Therapeutics, Inc. on September 22,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365" w:type="dxa"/>
        <w:jc w:val="left"/>
        <w:tblInd w:w="0" w:type="dxa"/>
        <w:tblLayout w:type="fixed"/>
        <w:tblCellMar>
          <w:top w:w="0" w:type="dxa"/>
          <w:left w:w="0" w:type="dxa"/>
          <w:bottom w:w="0" w:type="dxa"/>
          <w:right w:w="0" w:type="dxa"/>
        </w:tblCellMar>
      </w:tblPr>
      <w:tblGrid>
        <w:gridCol w:w="2120"/>
        <w:gridCol w:w="365"/>
        <w:gridCol w:w="1880"/>
      </w:tblGrid>
      <w:tr>
        <w:trPr/>
        <w:tc>
          <w:tcPr>
            <w:tcW w:w="212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b/>
                <w:sz w:val="20"/>
              </w:rPr>
            </w:pPr>
            <w:r>
              <w:rPr>
                <w:b/>
                <w:sz w:val="20"/>
              </w:rPr>
              <w:t>Filana Therapeutics, Inc.</w:t>
            </w:r>
          </w:p>
        </w:tc>
      </w:tr>
      <w:tr>
        <w:trPr/>
        <w:tc>
          <w:tcPr>
            <w:tcW w:w="212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sz w:val="20"/>
              </w:rPr>
            </w:pPr>
            <w:r>
              <w:rPr>
                <w:sz w:val="20"/>
              </w:rPr>
              <w:t>a Delaware corporation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22, 2026</w:t>
            </w:r>
          </w:p>
        </w:tc>
        <w:tc>
          <w:tcPr>
            <w:tcW w:w="365" w:type="dxa"/>
            <w:tcBorders/>
            <w:vAlign w:val="center"/>
          </w:tcPr>
          <w:p>
            <w:pPr>
              <w:pStyle w:val="TableContents"/>
              <w:bidi w:val="0"/>
              <w:spacing w:before="0" w:after="283"/>
              <w:jc w:val="left"/>
              <w:rPr>
                <w:sz w:val="20"/>
              </w:rPr>
            </w:pPr>
            <w:r>
              <w:rPr>
                <w:sz w:val="20"/>
              </w:rPr>
              <w:t>By: </w:t>
            </w:r>
          </w:p>
        </w:tc>
        <w:tc>
          <w:tcPr>
            <w:tcW w:w="1880" w:type="dxa"/>
            <w:tcBorders/>
            <w:vAlign w:val="center"/>
          </w:tcPr>
          <w:p>
            <w:pPr>
              <w:pStyle w:val="TableContents"/>
              <w:bidi w:val="0"/>
              <w:spacing w:before="0" w:after="283"/>
              <w:jc w:val="left"/>
              <w:rPr>
                <w:sz w:val="20"/>
                <w:u w:val="single"/>
              </w:rPr>
            </w:pPr>
            <w:r>
              <w:rPr>
                <w:sz w:val="20"/>
                <w:u w:val="single"/>
              </w:rPr>
              <w:t>/s/ Eric J. Schoen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Eric J. Schoen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Filana Therapeutics Announces FDA Lift of Clinical Hold on Simufilam, Enabling Phase 2a Study in TSC-Related Epilepsy</w:t>
      </w:r>
    </w:p>
    <w:p>
      <w:pPr>
        <w:pStyle w:val="TextBody"/>
        <w:numPr>
          <w:ilvl w:val="0"/>
          <w:numId w:val="2"/>
        </w:numPr>
        <w:tabs>
          <w:tab w:val="clear" w:pos="1134"/>
          <w:tab w:val="left" w:pos="709" w:leader="none"/>
        </w:tabs>
        <w:bidi w:val="0"/>
        <w:spacing w:before="0" w:after="0"/>
        <w:ind w:left="709" w:hanging="283"/>
        <w:jc w:val="both"/>
        <w:rPr/>
      </w:pPr>
      <w:r>
        <w:rPr>
          <w:rStyle w:val="Emphasis"/>
        </w:rPr>
        <w:t>Patient screening for the Phase 2a study is expected to begin by the first quarter of 2027</w:t>
      </w:r>
    </w:p>
    <w:p>
      <w:pPr>
        <w:pStyle w:val="TextBody"/>
        <w:numPr>
          <w:ilvl w:val="0"/>
          <w:numId w:val="2"/>
        </w:numPr>
        <w:tabs>
          <w:tab w:val="clear" w:pos="1134"/>
          <w:tab w:val="left" w:pos="709" w:leader="none"/>
        </w:tabs>
        <w:bidi w:val="0"/>
        <w:spacing w:before="0" w:after="0"/>
        <w:ind w:left="709" w:hanging="283"/>
        <w:jc w:val="both"/>
        <w:rPr/>
      </w:pPr>
      <w:r>
        <w:rPr>
          <w:rStyle w:val="Emphasis"/>
        </w:rPr>
        <w:t>Filana has engaged a leading clinical research organization, has identified clinical trial sites, and is recruiting potential investigators</w:t>
      </w:r>
    </w:p>
    <w:p>
      <w:pPr>
        <w:pStyle w:val="TextBody"/>
        <w:numPr>
          <w:ilvl w:val="0"/>
          <w:numId w:val="2"/>
        </w:numPr>
        <w:tabs>
          <w:tab w:val="clear" w:pos="1134"/>
          <w:tab w:val="left" w:pos="709" w:leader="none"/>
        </w:tabs>
        <w:bidi w:val="0"/>
        <w:ind w:left="709" w:hanging="283"/>
        <w:jc w:val="both"/>
        <w:rPr/>
      </w:pPr>
      <w:r>
        <w:rPr>
          <w:rStyle w:val="Emphasis"/>
        </w:rPr>
        <w:t>Ongoing collaboration with the TSC Alliance and the broader TSC community is intended to support patient engagement and study execution</w:t>
      </w:r>
    </w:p>
    <w:p>
      <w:pPr>
        <w:pStyle w:val="TextBody"/>
        <w:bidi w:val="0"/>
        <w:jc w:val="both"/>
        <w:rPr/>
      </w:pPr>
      <w:r>
        <w:rPr/>
        <w:t>AUSTIN, Texas, Sept. 22, 2026 (GLOBE NEWSWIRE) -- Filana Therapeutics, Inc. (NASDAQ: FLNA, “Filana Therapeutics”, the “Company”), a biotechnology company currently focused on developing simufilam for the treatment of Tuberous Sclerosis Complex (TSC)-related epilepsy, today announced that the U.S. Food and Drug Administration (FDA) has lifted the clinical hold on the Company's investigational new drug (IND) application, enabling Filana to initiate a planned Phase 2a proof-of-concept study in patients aged 12 to 55 with TSC-related epilepsy. Patient screening is expected to begin by the first quarter of 2027.</w:t>
      </w:r>
    </w:p>
    <w:p>
      <w:pPr>
        <w:pStyle w:val="TextBody"/>
        <w:bidi w:val="0"/>
        <w:jc w:val="both"/>
        <w:rPr/>
      </w:pPr>
      <w:r>
        <w:rPr/>
        <w:t>“</w:t>
      </w:r>
      <w:r>
        <w:rPr/>
        <w:t xml:space="preserve">With the clinical hold lifted, we can now execute our development plan for simufilam in TSC-related epilepsy,” said </w:t>
      </w:r>
      <w:r>
        <w:rPr>
          <w:rStyle w:val="StrongEmphasis"/>
        </w:rPr>
        <w:t>Rick Barry, President and Chief Executive Officer</w:t>
      </w:r>
      <w:r>
        <w:rPr/>
        <w:t xml:space="preserve"> </w:t>
      </w:r>
      <w:r>
        <w:rPr>
          <w:rStyle w:val="StrongEmphasis"/>
        </w:rPr>
        <w:t>of Filana</w:t>
      </w:r>
      <w:r>
        <w:rPr/>
        <w:t>. “While on hold, we completed key trial-readiness activities, including engaging a leading clinical research organization, identifying clinical trial sites, and recruiting potential investigators. With investigational drug supply in place, implementation of our Phase 2a study of simufilam is now able to progress expeditiously toward site initiation and patient enrollment.”</w:t>
      </w:r>
    </w:p>
    <w:p>
      <w:pPr>
        <w:pStyle w:val="TextBody"/>
        <w:bidi w:val="0"/>
        <w:jc w:val="both"/>
        <w:rPr/>
      </w:pPr>
      <w:r>
        <w:rPr/>
        <w:t>“</w:t>
      </w:r>
      <w:r>
        <w:rPr/>
        <w:t xml:space="preserve">Drug-resistant epilepsy remains a challenge for a majority of individuals affected by TSC,” said </w:t>
      </w:r>
      <w:r>
        <w:rPr>
          <w:rStyle w:val="StrongEmphasis"/>
        </w:rPr>
        <w:t>Kari Luther Rosbeck, President and Chief Executive Officer of the TSC Alliance</w:t>
      </w:r>
      <w:r>
        <w:rPr/>
        <w:t>. “Research investigating different molecular pathways involved in TSC offers hope for potential new options for those living with the disease. The TSC Alliance applauds Filana for their innovative work in exploring a new target mechanism and their plans to launch a clinical trial to test the effectiveness of that potential new treatment to help address a major unmet need for the TSC community.”</w:t>
      </w:r>
    </w:p>
    <w:p>
      <w:pPr>
        <w:pStyle w:val="TextBody"/>
        <w:bidi w:val="0"/>
        <w:jc w:val="both"/>
        <w:rPr/>
      </w:pPr>
      <w:r>
        <w:rPr>
          <w:rStyle w:val="StrongEmphasis"/>
        </w:rPr>
        <w:t>Planned Phase 2a Trial Design</w:t>
      </w:r>
    </w:p>
    <w:p>
      <w:pPr>
        <w:pStyle w:val="TextBody"/>
        <w:bidi w:val="0"/>
        <w:jc w:val="both"/>
        <w:rPr/>
      </w:pPr>
      <w:r>
        <w:rPr/>
        <w:t>Filana’s Phase 2a study is a 16-week multicenter, randomized, double-blind clinical trial to evaluate two doses of simufilam in patients with refractory TSC-related seizures. The study is planned to be conducted at 13 sites in the U.S. with a target enrollment of 40 subjects aged 12 to 55. All subjects who complete the double-blind treatment phase are eligible to participate in a 48-week extension study.</w:t>
      </w:r>
    </w:p>
    <w:p>
      <w:pPr>
        <w:pStyle w:val="TextBody"/>
        <w:bidi w:val="0"/>
        <w:jc w:val="both"/>
        <w:rPr/>
      </w:pPr>
      <w:r>
        <w:rPr/>
        <w:t>The study is designed to assess safety, tolerability, pharmacokinetics, and seizure-related measures, including seizure frequency, seizure intensity and duration, nighttime seizures, and sleep-related outcomes. Data from the study are expected to help inform the development path for simufilam in TSC-related epilepsy, including the design of future studies in younger patient populations.</w:t>
      </w:r>
    </w:p>
    <w:p>
      <w:pPr>
        <w:pStyle w:val="TextBody"/>
        <w:bidi w:val="0"/>
        <w:jc w:val="both"/>
        <w:rPr/>
      </w:pPr>
      <w:r>
        <w:rPr>
          <w:rStyle w:val="StrongEmphasis"/>
        </w:rPr>
        <w:t>Scientific Rationale</w:t>
      </w:r>
    </w:p>
    <w:p>
      <w:pPr>
        <w:pStyle w:val="TextBody"/>
        <w:bidi w:val="0"/>
        <w:jc w:val="both"/>
        <w:rPr/>
      </w:pPr>
      <w:r>
        <w:rPr/>
        <w:t>Simufilam is an oral small molecule intended to modulate the filamin A protein. The clinical evaluation of simufilam in TSC-related epilepsy is supported by findings from two preclinical mouse models. Initial studies were conducted in the laboratory of Angélique Bordey, PhD, Rothberg Professor of Neurosurgery at Yale School of Medicine and Senior Vice President, Neuroscience at Filana. Those studies showed that simufilam reduced seizure frequency in a mouse model of focal onset seizures involving TSC-related pathology</w:t>
      </w:r>
      <w:r>
        <w:rPr>
          <w:position w:val="8"/>
          <w:sz w:val="19"/>
        </w:rPr>
        <w:t>1</w:t>
      </w:r>
      <w:r>
        <w:rPr/>
        <w:t>. In a separate study conducted with the TSC Alliance Preclinical Consortium using a well-accepted TSC-knockout mouse model, simufilam attenuated the progression of seizure activity in a dose-dependent manner</w:t>
      </w:r>
      <w:r>
        <w:rPr>
          <w:position w:val="8"/>
          <w:sz w:val="19"/>
        </w:rPr>
        <w:t>2</w:t>
      </w:r>
      <w:r>
        <w:rPr/>
        <w:t>.</w:t>
      </w:r>
    </w:p>
    <w:p>
      <w:pPr>
        <w:pStyle w:val="TextBody"/>
        <w:bidi w:val="0"/>
        <w:jc w:val="both"/>
        <w:rPr/>
      </w:pPr>
      <w:r>
        <w:rPr/>
        <w:t>Filana holds an exclusive worldwide license from Yale University to intellectual property supporting the use of simufilam in TSC-related epilepsy.</w:t>
      </w:r>
    </w:p>
    <w:p>
      <w:pPr>
        <w:pStyle w:val="TextBody"/>
        <w:bidi w:val="0"/>
        <w:spacing w:before="0" w:after="283"/>
        <w:jc w:val="left"/>
        <w:rPr/>
      </w:pPr>
      <w:r>
        <w:rPr>
          <w:rStyle w:val="StrongEmphasis"/>
        </w:rPr>
        <w:t>About TSC and TSC-Related Epilepsy</w:t>
      </w:r>
    </w:p>
    <w:p>
      <w:pPr>
        <w:pStyle w:val="TextBody"/>
        <w:bidi w:val="0"/>
        <w:jc w:val="both"/>
        <w:rPr/>
      </w:pPr>
      <w:r>
        <w:rPr/>
        <w:t xml:space="preserve">TSC is a rare genetic disorder resulting from a mutation in the </w:t>
      </w:r>
      <w:r>
        <w:rPr>
          <w:rStyle w:val="Emphasis"/>
        </w:rPr>
        <w:t>TSC1</w:t>
      </w:r>
      <w:r>
        <w:rPr/>
        <w:t xml:space="preserve"> or </w:t>
      </w:r>
      <w:r>
        <w:rPr>
          <w:rStyle w:val="Emphasis"/>
        </w:rPr>
        <w:t>TSC2</w:t>
      </w:r>
      <w:r>
        <w:rPr/>
        <w:t xml:space="preserve"> gene. These mutations affect the mechanistic target of rapamycin (mTOR) pathway and can cause tumors to grow in multiple organs</w:t>
      </w:r>
      <w:r>
        <w:rPr>
          <w:position w:val="8"/>
          <w:sz w:val="19"/>
        </w:rPr>
        <w:t>3,4</w:t>
      </w:r>
      <w:r>
        <w:rPr/>
        <w:t>. Epilepsy is the most common health issue affecting the TSC community, with 80% to 90% of TSC patients experiencing seizures</w:t>
      </w:r>
      <w:r>
        <w:rPr>
          <w:position w:val="8"/>
          <w:sz w:val="19"/>
        </w:rPr>
        <w:t>5</w:t>
      </w:r>
      <w:r>
        <w:rPr/>
        <w:t>. TSC-related epilepsy affects approximately 45,000 people in the U.S.</w:t>
      </w:r>
      <w:r>
        <w:rPr>
          <w:position w:val="8"/>
          <w:sz w:val="19"/>
        </w:rPr>
        <w:t>1,3</w:t>
      </w:r>
      <w:r>
        <w:rPr/>
        <w:t>. Most patients start having seizures within their first year of life</w:t>
      </w:r>
      <w:r>
        <w:rPr>
          <w:position w:val="8"/>
          <w:sz w:val="19"/>
        </w:rPr>
        <w:t>1</w:t>
      </w:r>
      <w:r>
        <w:rPr/>
        <w:t>. Even with multiple approved treatments, more than 60% of TSC patients remain refractory to antiepileptic therapy</w:t>
      </w:r>
      <w:r>
        <w:rPr>
          <w:position w:val="8"/>
          <w:sz w:val="19"/>
        </w:rPr>
        <w:t>6</w:t>
      </w:r>
      <w:r>
        <w:rPr/>
        <w:t>.</w:t>
      </w:r>
    </w:p>
    <w:p>
      <w:pPr>
        <w:pStyle w:val="TextBody"/>
        <w:bidi w:val="0"/>
        <w:spacing w:before="0" w:after="283"/>
        <w:jc w:val="left"/>
        <w:rPr/>
      </w:pPr>
      <w:r>
        <w:rPr>
          <w:rStyle w:val="StrongEmphasis"/>
        </w:rPr>
        <w:t>About Filana Therapeutics, Inc.</w:t>
      </w:r>
    </w:p>
    <w:p>
      <w:pPr>
        <w:pStyle w:val="TextBody"/>
        <w:bidi w:val="0"/>
        <w:jc w:val="both"/>
        <w:rPr/>
      </w:pPr>
      <w:r>
        <w:rPr/>
        <w:t>Filana Therapeutics, Inc. (NASDAQ: FLNA), is a biotechnology company focused on developing novel, investigational therapies to modulate the filamin A protein for the treatment of central nervous system disorders, such as tuberous sclerosis complex (TSC)-related epilepsy, and other diseases associated with dysregulation or overexpression of filamin A.</w:t>
      </w:r>
    </w:p>
    <w:p>
      <w:pPr>
        <w:pStyle w:val="TextBody"/>
        <w:bidi w:val="0"/>
        <w:spacing w:before="0" w:after="283"/>
        <w:jc w:val="left"/>
        <w:rPr/>
      </w:pPr>
      <w:r>
        <w:rPr/>
        <w:t>For more information, please visit: </w:t>
      </w:r>
      <w:r>
        <w:rPr>
          <w:u w:val="single"/>
        </w:rPr>
        <w:t>https://www.FilanaTx.com</w:t>
      </w:r>
    </w:p>
    <w:p>
      <w:pPr>
        <w:pStyle w:val="TextBody"/>
        <w:bidi w:val="0"/>
        <w:spacing w:before="0" w:after="283"/>
        <w:jc w:val="left"/>
        <w:rPr/>
      </w:pPr>
      <w:r>
        <w:rPr/>
        <w:t>References:</w:t>
      </w:r>
    </w:p>
    <w:p>
      <w:pPr>
        <w:pStyle w:val="TextBody"/>
        <w:numPr>
          <w:ilvl w:val="0"/>
          <w:numId w:val="3"/>
        </w:numPr>
        <w:tabs>
          <w:tab w:val="clear" w:pos="1134"/>
          <w:tab w:val="left" w:pos="709" w:leader="none"/>
        </w:tabs>
        <w:bidi w:val="0"/>
        <w:spacing w:before="0" w:after="0"/>
        <w:ind w:left="709" w:hanging="283"/>
        <w:jc w:val="both"/>
        <w:rPr/>
      </w:pPr>
      <w:r>
        <w:rPr>
          <w:rStyle w:val="Emphasis"/>
        </w:rPr>
        <w:t xml:space="preserve">Zhang L, Huang T, Teaw S, Nguyen LH, Hsieh LS, Wong X, Burns LH, Bordey A. </w:t>
      </w:r>
      <w:r>
        <w:rPr>
          <w:rStyle w:val="Emphasis"/>
          <w:u w:val="single"/>
        </w:rPr>
        <w:t>Filamin A inhibition reduces seizure activity in a mouse model of focal cortical malformations</w:t>
      </w:r>
      <w:r>
        <w:rPr>
          <w:rStyle w:val="Emphasis"/>
        </w:rPr>
        <w:t xml:space="preserve">. Science Translational Medicine. 2020;12(531):eaay0289. </w:t>
      </w:r>
      <w:r>
        <w:rPr/>
        <w:t>DOI: 10.1126/scitranslmed.aay0289</w:t>
      </w:r>
    </w:p>
    <w:p>
      <w:pPr>
        <w:pStyle w:val="TextBody"/>
        <w:numPr>
          <w:ilvl w:val="0"/>
          <w:numId w:val="3"/>
        </w:numPr>
        <w:tabs>
          <w:tab w:val="clear" w:pos="1134"/>
          <w:tab w:val="left" w:pos="709" w:leader="none"/>
        </w:tabs>
        <w:bidi w:val="0"/>
        <w:spacing w:before="0" w:after="0"/>
        <w:ind w:left="709" w:hanging="283"/>
        <w:jc w:val="both"/>
        <w:rPr/>
      </w:pPr>
      <w:r>
        <w:rPr>
          <w:rStyle w:val="Emphasis"/>
        </w:rPr>
        <w:t>Stansley B, Islam MM, Aguiar DJ, Fuchs Z, Catron M, Morairty S, et al. The small molecule simufilam dose-dependently attenuates the worsening of seizures in a mouse model of tuberous sclerosis complex. Epilepsia. 2026;00:1–13. DOI: 10.1002/epi.70227</w:t>
      </w:r>
    </w:p>
    <w:p>
      <w:pPr>
        <w:pStyle w:val="TextBody"/>
        <w:numPr>
          <w:ilvl w:val="0"/>
          <w:numId w:val="3"/>
        </w:numPr>
        <w:tabs>
          <w:tab w:val="clear" w:pos="1134"/>
          <w:tab w:val="left" w:pos="709" w:leader="none"/>
        </w:tabs>
        <w:bidi w:val="0"/>
        <w:spacing w:before="0" w:after="0"/>
        <w:ind w:left="709" w:hanging="283"/>
        <w:jc w:val="both"/>
        <w:rPr/>
      </w:pPr>
      <w:r>
        <w:rPr>
          <w:rStyle w:val="Emphasis"/>
          <w:u w:val="single"/>
        </w:rPr>
        <w:t>https://www.tscalliance.org/understanding-tsc/what-is-tsc/</w:t>
      </w:r>
    </w:p>
    <w:p>
      <w:pPr>
        <w:pStyle w:val="TextBody"/>
        <w:numPr>
          <w:ilvl w:val="0"/>
          <w:numId w:val="3"/>
        </w:numPr>
        <w:tabs>
          <w:tab w:val="clear" w:pos="1134"/>
          <w:tab w:val="left" w:pos="709" w:leader="none"/>
        </w:tabs>
        <w:bidi w:val="0"/>
        <w:spacing w:before="0" w:after="0"/>
        <w:ind w:left="709" w:hanging="283"/>
        <w:jc w:val="both"/>
        <w:rPr/>
      </w:pPr>
      <w:r>
        <w:rPr>
          <w:rStyle w:val="Emphasis"/>
          <w:u w:val="single"/>
        </w:rPr>
        <w:t>https://www.tscalliance.org/understanding-tsc/genetics/</w:t>
      </w:r>
    </w:p>
    <w:p>
      <w:pPr>
        <w:pStyle w:val="TextBody"/>
        <w:numPr>
          <w:ilvl w:val="0"/>
          <w:numId w:val="3"/>
        </w:numPr>
        <w:tabs>
          <w:tab w:val="clear" w:pos="1134"/>
          <w:tab w:val="left" w:pos="709" w:leader="none"/>
        </w:tabs>
        <w:bidi w:val="0"/>
        <w:spacing w:before="0" w:after="0"/>
        <w:ind w:left="709" w:hanging="283"/>
        <w:jc w:val="both"/>
        <w:rPr/>
      </w:pPr>
      <w:r>
        <w:rPr>
          <w:rStyle w:val="Emphasis"/>
        </w:rPr>
        <w:t xml:space="preserve">Crino P, Nathanson K, Henske EP. The tuberous sclerosis complex. N Engl J Med. 2006;355(13):1345-1356. </w:t>
      </w:r>
      <w:r>
        <w:rPr>
          <w:rStyle w:val="Emphasis"/>
          <w:u w:val="single"/>
        </w:rPr>
        <w:t>DOI: 10.1056/NEJMra055323</w:t>
      </w:r>
    </w:p>
    <w:p>
      <w:pPr>
        <w:pStyle w:val="TextBody"/>
        <w:numPr>
          <w:ilvl w:val="0"/>
          <w:numId w:val="3"/>
        </w:numPr>
        <w:tabs>
          <w:tab w:val="clear" w:pos="1134"/>
          <w:tab w:val="left" w:pos="709" w:leader="none"/>
        </w:tabs>
        <w:bidi w:val="0"/>
        <w:ind w:left="709" w:hanging="283"/>
        <w:jc w:val="both"/>
        <w:rPr/>
      </w:pPr>
      <w:r>
        <w:rPr>
          <w:rStyle w:val="Emphasis"/>
        </w:rPr>
        <w:t xml:space="preserve">Chu-Shore CJ, Major P, Camposano S, Muzykewicz D, Thiele EA. The natural history of epilepsy in tuberous sclerosis complex. Epilepsia. 2010;51(7):1236–1241. </w:t>
      </w:r>
      <w:r>
        <w:rPr>
          <w:rStyle w:val="Emphasis"/>
          <w:u w:val="single"/>
        </w:rPr>
        <w:t>DOI: 10.1111/j.1528-1167.2009.02474.x</w:t>
      </w:r>
    </w:p>
    <w:p>
      <w:pPr>
        <w:pStyle w:val="TextBody"/>
        <w:bidi w:val="0"/>
        <w:jc w:val="both"/>
        <w:rPr/>
      </w:pPr>
      <w:r>
        <w:rPr>
          <w:rStyle w:val="StrongEmphasis"/>
        </w:rPr>
        <w:t>For More Information Contact:</w:t>
      </w:r>
      <w:r>
        <w:rPr/>
        <w:br/>
      </w:r>
      <w:r>
        <w:rPr>
          <w:rStyle w:val="StrongEmphasis"/>
        </w:rPr>
        <w:t>Investors</w:t>
      </w:r>
      <w:r>
        <w:rPr/>
        <w:br/>
        <w:t>Mike Moyer</w:t>
        <w:br/>
      </w:r>
      <w:r>
        <w:rPr>
          <w:u w:val="single"/>
        </w:rPr>
        <w:t>mmoyer@lifesciadvisors.com</w:t>
      </w:r>
    </w:p>
    <w:p>
      <w:pPr>
        <w:pStyle w:val="TextBody"/>
        <w:bidi w:val="0"/>
        <w:jc w:val="both"/>
        <w:rPr/>
      </w:pPr>
      <w:r>
        <w:rPr>
          <w:rStyle w:val="StrongEmphasis"/>
        </w:rPr>
        <w:t>Filana Therapeutics</w:t>
      </w:r>
      <w:r>
        <w:rPr/>
        <w:br/>
        <w:t>Eric Schoen, Chief Financial Officer</w:t>
        <w:br/>
        <w:t>(512) 501-2450</w:t>
        <w:br/>
      </w:r>
      <w:r>
        <w:rPr>
          <w:u w:val="single"/>
        </w:rPr>
        <w:t>ESchoen@FilanaTx.com</w:t>
      </w:r>
      <w:r>
        <w:rPr/>
        <w:br/>
      </w:r>
      <w:r>
        <w:rPr>
          <w:u w:val="single"/>
        </w:rPr>
        <w:t>IR@FilanaTx.com</w:t>
      </w:r>
    </w:p>
    <w:p>
      <w:pPr>
        <w:pStyle w:val="TextBody"/>
        <w:bidi w:val="0"/>
        <w:jc w:val="both"/>
        <w:rPr/>
      </w:pPr>
      <w:r>
        <w:rPr>
          <w:rStyle w:val="Emphasis"/>
        </w:rPr>
        <w:t xml:space="preserve">Cautionary Note Regarding Forward-Looking Statements: </w:t>
      </w:r>
    </w:p>
    <w:p>
      <w:pPr>
        <w:pStyle w:val="TextBody"/>
        <w:bidi w:val="0"/>
        <w:jc w:val="both"/>
        <w:rPr/>
      </w:pPr>
      <w:r>
        <w:rPr>
          <w:rStyle w:val="Emphasis"/>
        </w:rPr>
        <w:t>This news release contains forward-looking statements that may include but are not limited to statements regarding: the timing and plans to initiate and conduct clinical studies with simufilam in TSC-related epilepsy; the design, structure, duration, objectives, endpoints, patient population, conduct, enrollment, completion, and potential results of our planned Phase 2a clinical trial; our ability to work with clinical research organizations, clinical sites, patient advocacy organizations, and the TSC community to advance the trial efficiently; the potential for simufilam as a treatment for TSC-related epilepsy and other potential indications; and the timing of anticipated milestones, including announcing study sites and screening patients. These statements may be identified by words such as “anticipate”, “before”, “believe”, “could”, “expect”, “forecast”, “intend”, “may”, “pending”, “plan”, “possible”, “potential”, “prepares for”, “will”, and other words and terms of similar meaning.</w:t>
      </w:r>
    </w:p>
    <w:p>
      <w:pPr>
        <w:pStyle w:val="TextBody"/>
        <w:bidi w:val="0"/>
        <w:jc w:val="both"/>
        <w:rPr/>
      </w:pPr>
      <w:r>
        <w:rPr>
          <w:rStyle w:val="Emphasis"/>
        </w:rPr>
        <w:t xml:space="preserve">Such statements are based on our current expectations and projections about future events. Such statements speak only as of the date of this news release and are subject to a number of risks, uncertainties and assumptions, including, but not limited to, those risks relating to our ability to initiate, enroll, conduct, and complete the planned Phase 2a study of simufilam in TSC-related epilepsy; our ability to engage clinical trial sites and participants; our ability to work effectively with clinical research organizations, vendors, investigators, patient advocacy organizations, and the TSC community; potential changes to the clinical trial protocol, trial design, endpoints, timing, patient population, or development plans; our ability to generate clinical data that support further development of simufilam; risks inherent in drug discovery and development; and other risks specific to Filana Therapeutics, Inc., as described in the section entitled “Risk Factors” in our Annual Report on Form 10-K for the year ended December 31, 2025 and subsequent reports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t>
      </w:r>
      <w:r>
        <w:rPr>
          <w:rStyle w:val="Emphasis"/>
          <w:u w:val="single"/>
        </w:rPr>
        <w:t>www.sec.gov</w:t>
      </w:r>
      <w:r>
        <w:rPr>
          <w:rStyle w:val="Emphasis"/>
        </w:rPr>
        <w:t>.</w:t>
      </w:r>
    </w:p>
    <w:p>
      <w:pPr>
        <w:pStyle w:val="TextBody"/>
        <w:bidi w:val="0"/>
        <w:jc w:val="both"/>
        <w:rPr/>
      </w:pPr>
      <w:r>
        <w:rPr>
          <w:rStyle w:val="Emphasis"/>
        </w:rPr>
        <w:t>All of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is approved or available for sale anywhere in the world.</w:t>
      </w:r>
    </w:p>
    <w:p>
      <w:pPr>
        <w:pStyle w:val="TextBody"/>
        <w:bidi w:val="0"/>
        <w:jc w:val="both"/>
        <w:rPr/>
      </w:pPr>
      <w:r>
        <w:rPr>
          <w:rStyle w:val="Emphasis"/>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pStyle w:val="TextBody"/>
        <w:bidi w:val="0"/>
        <w:spacing w:before="0" w:after="283"/>
        <w:jc w:val="both"/>
        <w:rPr/>
      </w:pPr>
      <w:r>
        <w:rPr>
          <w:rStyle w:val="Emphasis"/>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2726</Words>
  <Characters>16166</Characters>
  <CharactersWithSpaces>18830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