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sava20260918_8k.htm"/>
      <w:bookmarkStart w:id="1" w:name="kssava20260918_8k"/>
      <w:bookmarkStart w:id="2" w:name="sava20260918_8k.htm"/>
      <w:bookmarkStart w:id="3" w:name="kssava20260918_8k"/>
      <w:bookmarkEnd w:id="2"/>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CURRENT REPORT</w:t>
      </w:r>
      <w:r>
        <w:rPr>
          <w:rFonts w:ascii="Times New Roman" w:hAnsi="Times New Roman"/>
          <w:caps w:val="false"/>
          <w:smallCaps w:val="false"/>
          <w:sz w:val="2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17,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Filana Therapeutics,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2775" w:type="dxa"/>
        <w:jc w:val="left"/>
        <w:tblInd w:w="0" w:type="dxa"/>
        <w:tblLayout w:type="fixed"/>
        <w:tblCellMar>
          <w:top w:w="0" w:type="dxa"/>
          <w:left w:w="0" w:type="dxa"/>
          <w:bottom w:w="0" w:type="dxa"/>
          <w:right w:w="0" w:type="dxa"/>
        </w:tblCellMar>
      </w:tblPr>
      <w:tblGrid>
        <w:gridCol w:w="830"/>
        <w:gridCol w:w="920"/>
        <w:gridCol w:w="1025"/>
      </w:tblGrid>
      <w:tr>
        <w:trPr/>
        <w:tc>
          <w:tcPr>
            <w:tcW w:w="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001-41905</w:t>
            </w:r>
          </w:p>
        </w:tc>
        <w:tc>
          <w:tcPr>
            <w:tcW w:w="10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91-1911336</w:t>
            </w:r>
          </w:p>
        </w:tc>
      </w:tr>
    </w:tbl>
    <w:tbl>
      <w:tblPr>
        <w:tblW w:w="4635" w:type="dxa"/>
        <w:jc w:val="left"/>
        <w:tblInd w:w="0" w:type="dxa"/>
        <w:tblLayout w:type="fixed"/>
        <w:tblCellMar>
          <w:top w:w="0" w:type="dxa"/>
          <w:left w:w="0" w:type="dxa"/>
          <w:bottom w:w="0" w:type="dxa"/>
          <w:right w:w="0" w:type="dxa"/>
        </w:tblCellMar>
      </w:tblPr>
      <w:tblGrid>
        <w:gridCol w:w="1970"/>
        <w:gridCol w:w="980"/>
        <w:gridCol w:w="1685"/>
      </w:tblGrid>
      <w:tr>
        <w:trPr/>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(State or other jurisdiction</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of incorporation)</w:t>
            </w:r>
          </w:p>
        </w:tc>
        <w:tc>
          <w:tcPr>
            <w:tcW w:w="980"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(Commission</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File Number)</w:t>
            </w:r>
          </w:p>
        </w:tc>
        <w:tc>
          <w:tcPr>
            <w:tcW w:w="1685" w:type="dxa"/>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(I.R.S. Employer</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6801 N Capital of Texas Highway, Building 1; Suite 300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Austin, Texas</w:t>
      </w:r>
      <w:r>
        <w:rPr>
          <w:rFonts w:ascii="Times New Roman" w:hAnsi="Times New Roman"/>
          <w:caps w:val="false"/>
          <w:smallCaps w:val="false"/>
          <w:sz w:val="20"/>
        </w:rPr>
        <w:t> </w:t>
      </w:r>
      <w:r>
        <w:rPr>
          <w:rFonts w:ascii="Times New Roman" w:hAnsi="Times New Roman"/>
          <w:b/>
          <w:caps w:val="false"/>
          <w:smallCaps w:val="false"/>
          <w:sz w:val="20"/>
        </w:rPr>
        <w:t>78731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(Address of principal executive offices, including zip code)</w:t>
      </w:r>
      <w:r>
        <w:rPr>
          <w:rFonts w:ascii="Times New Roman" w:hAnsi="Times New Roman"/>
          <w:caps w:val="false"/>
          <w:smallCaps w:val="false"/>
          <w:sz w:val="1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(512) 501-2444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(Registrant</w:t>
      </w:r>
      <w:r>
        <w:rPr>
          <w:rFonts w:ascii="Times New Roman" w:hAnsi="Times New Roman"/>
          <w:caps w:val="false"/>
          <w:smallCaps w:val="false"/>
          <w:sz w:val="16"/>
        </w:rPr>
        <w:t>’</w:t>
      </w:r>
      <w:r>
        <w:rPr>
          <w:rFonts w:ascii="Times New Roman" w:hAnsi="Times New Roman"/>
          <w:b/>
          <w:caps w:val="false"/>
          <w:smallCaps w:val="false"/>
          <w:sz w:val="16"/>
        </w:rPr>
        <w:t>s telephone number, including area code)</w:t>
      </w:r>
      <w:r>
        <w:rPr>
          <w:rFonts w:ascii="Times New Roman" w:hAnsi="Times New Roman"/>
          <w:caps w:val="false"/>
          <w:smallCaps w:val="false"/>
          <w:sz w:val="1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b/>
          <w:caps w:val="false"/>
          <w:smallCaps w:val="false"/>
          <w:sz w:val="16"/>
        </w:rPr>
        <w:t>(Former name or former address, if changed since last report.)</w:t>
      </w:r>
      <w:r>
        <w:rPr>
          <w:rFonts w:ascii="Times New Roman" w:hAnsi="Times New Roman"/>
          <w:caps w:val="false"/>
          <w:smallCaps w:val="false"/>
          <w:sz w:val="1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92" w:type="dxa"/>
        <w:jc w:val="left"/>
        <w:tblInd w:w="0" w:type="dxa"/>
        <w:tblLayout w:type="fixed"/>
        <w:tblCellMar>
          <w:top w:w="28" w:type="dxa"/>
          <w:left w:w="28" w:type="dxa"/>
          <w:bottom w:w="28" w:type="dxa"/>
          <w:right w:w="28" w:type="dxa"/>
        </w:tblCellMar>
      </w:tblPr>
      <w:tblGrid>
        <w:gridCol w:w="331"/>
        <w:gridCol w:w="9061"/>
      </w:tblGrid>
      <w:tr>
        <w:trPr/>
        <w:tc>
          <w:tcPr>
            <w:tcW w:w="331"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 pursuant to Rule 14d-2(b) under the Exchange Act (17CFR 240.14d-2(b))</w:t>
            </w:r>
          </w:p>
        </w:tc>
      </w:tr>
      <w:tr>
        <w:trPr/>
        <w:tc>
          <w:tcPr>
            <w:tcW w:w="331" w:type="dxa"/>
            <w:tcBorders/>
            <w:vAlign w:val="center"/>
          </w:tcPr>
          <w:p>
            <w:pPr>
              <w:pStyle w:val="TableContents"/>
              <w:bidi w:val="0"/>
              <w:spacing w:before="0" w:after="0"/>
              <w:ind w:left="0" w:right="0" w:hanging="0"/>
              <w:jc w:val="left"/>
              <w:rPr/>
            </w:pPr>
            <w:r>
              <w:rPr/>
              <w:t>☐</w:t>
            </w:r>
          </w:p>
        </w:tc>
        <w:tc>
          <w:tcPr>
            <w:tcW w:w="9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 pursuant to Rule 13e-4(c) under the Exchange Act (17CFR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28" w:type="dxa"/>
          <w:right w:w="0" w:type="dxa"/>
        </w:tblCellMar>
      </w:tblPr>
      <w:tblGrid>
        <w:gridCol w:w="2735"/>
        <w:gridCol w:w="60"/>
        <w:gridCol w:w="860"/>
        <w:gridCol w:w="6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FLNA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3</w:t>
      </w:r>
    </w:p>
    <w:p>
      <w:pPr>
        <w:pStyle w:val="HorizontalLine"/>
        <w:pBdr>
          <w:bottom w:val="double" w:sz="2" w:space="0" w:color="808080"/>
        </w:pBdr>
        <w:bidi w:val="0"/>
        <w:spacing w:before="0" w:after="283"/>
        <w:jc w:val="left"/>
        <w:rPr/>
      </w:pPr>
      <w:r>
        <w:rPr/>
      </w:r>
    </w:p>
    <w:tbl>
      <w:tblPr>
        <w:tblW w:w="9317" w:type="dxa"/>
        <w:jc w:val="left"/>
        <w:tblInd w:w="0" w:type="dxa"/>
        <w:tblLayout w:type="fixed"/>
        <w:tblCellMar>
          <w:top w:w="28" w:type="dxa"/>
          <w:left w:w="28" w:type="dxa"/>
          <w:bottom w:w="28" w:type="dxa"/>
          <w:right w:w="28" w:type="dxa"/>
        </w:tblCellMar>
      </w:tblPr>
      <w:tblGrid>
        <w:gridCol w:w="916"/>
        <w:gridCol w:w="8401"/>
      </w:tblGrid>
      <w:tr>
        <w:trPr/>
        <w:tc>
          <w:tcPr>
            <w:tcW w:w="91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3.01</w:t>
            </w:r>
          </w:p>
        </w:tc>
        <w:tc>
          <w:tcPr>
            <w:tcW w:w="840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Notice of Delisting or Failure to Satisfy a Continued Listing Rule or Standard; Transfer of Listing.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On September 17, 2026, Filana Therapeutics, Inc. (the “Company”) received written notice (the “Notice”) from the Nasdaq Stock Market, LLC (“Nasdaq”) indicating that the bid price for the Company’s common stock (the “Common Stock”), for the last thirty (30) consecutive business days, had closed below the minimum $1.00 per share and, as a result, the Company is not in compliance with the $1.00 minimum bid price requirement for the continued listing on the Nasdaq Capital Market, as set forth in Nasdaq Listing Rule 5550(a)(2). </w:t>
      </w:r>
      <w:r>
        <w:rPr>
          <w:rFonts w:ascii="Times New Roman" w:hAnsi="Times New Roman"/>
          <w:i/>
          <w:caps w:val="false"/>
          <w:smallCaps w:val="false"/>
          <w:sz w:val="20"/>
        </w:rPr>
        <w:t xml:space="preserve">The Notice has no effect at this time on the Common Stock, which continues to trade on the Nasdaq Capital Market under the symbol </w:t>
      </w:r>
      <w:r>
        <w:rPr>
          <w:rFonts w:ascii="Times New Roman" w:hAnsi="Times New Roman"/>
          <w:caps w:val="false"/>
          <w:smallCaps w:val="false"/>
          <w:sz w:val="20"/>
        </w:rPr>
        <w:t>“</w:t>
      </w:r>
      <w:r>
        <w:rPr>
          <w:rFonts w:ascii="Times New Roman" w:hAnsi="Times New Roman"/>
          <w:i/>
          <w:caps w:val="false"/>
          <w:smallCaps w:val="false"/>
          <w:sz w:val="20"/>
        </w:rPr>
        <w:t>FLNA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accordance with the Nasdaq Listing Rule 5810(c)(3)(A), the Company has a period of 180 calendar days, or until March 16, 2027, to regain compliance with the minimum bid price requirement. To regain compliance, the closing bid price of the Common Stock must meet or exceed $1.00 per share for a minimum of ten (10) consecutive business days during this 180 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the Company is not in compliance by March 16, 2027, the Company may qualify for a second 180 calendar day compliance period. If the Company does not qualify for, or fails to regain compliance during the second compliance period, or if it appears to Nasdaq that the Company will not be able to cure the deficiency, then Nasdaq will notify the Company of its determination to delist its Common Stock, at which point the Company would have an option to appeal the delisting determination to a Nasdaq hearings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intends to actively monitor the closing bid price of its Common Stock and may, if appropriate, consider implementing available options to regain compliance with the minimum bid price under the Nasdaq Listing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can be no assurance that the Company will be successful in maintaining its listing of its common stock on the Nasdaq Capital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9" w:type="dxa"/>
        <w:jc w:val="left"/>
        <w:tblInd w:w="0" w:type="dxa"/>
        <w:tblLayout w:type="fixed"/>
        <w:tblCellMar>
          <w:top w:w="0" w:type="dxa"/>
          <w:left w:w="0" w:type="dxa"/>
          <w:bottom w:w="0" w:type="dxa"/>
          <w:right w:w="0" w:type="dxa"/>
        </w:tblCellMar>
      </w:tblPr>
      <w:tblGrid>
        <w:gridCol w:w="2120"/>
        <w:gridCol w:w="408"/>
        <w:gridCol w:w="2401"/>
        <w:gridCol w:w="60"/>
      </w:tblGrid>
      <w:tr>
        <w:trPr/>
        <w:tc>
          <w:tcPr>
            <w:tcW w:w="2120" w:type="dxa"/>
            <w:tcBorders/>
            <w:vAlign w:val="center"/>
          </w:tcPr>
          <w:p>
            <w:pPr>
              <w:pStyle w:val="TableContents"/>
              <w:bidi w:val="0"/>
              <w:spacing w:before="0" w:after="0"/>
              <w:ind w:left="0" w:right="0" w:hanging="0"/>
              <w:jc w:val="left"/>
              <w:rPr/>
            </w:pPr>
            <w:r>
              <w:rPr/>
              <w:t> </w:t>
            </w:r>
          </w:p>
        </w:tc>
        <w:tc>
          <w:tcPr>
            <w:tcW w:w="280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FILANA THERAPEUTICS, INC.</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28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Delaware corporation</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18, 2026</w:t>
            </w:r>
          </w:p>
        </w:tc>
        <w:tc>
          <w:tcPr>
            <w:tcW w:w="408"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01"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ERIC J. SCHOEN</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J. Schoen</w:t>
            </w:r>
          </w:p>
        </w:tc>
        <w:tc>
          <w:tcPr>
            <w:tcW w:w="60"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rFonts w:ascii="Times New Roman" w:hAnsi="Times New Roman"/>
          <w:caps w:val="false"/>
          <w:smallCaps w:val="false"/>
          <w:sz w:val="20"/>
        </w:rPr>
      </w:pPr>
      <w:r>
        <w:rPr>
          <w:rFonts w:ascii="Times New Roman" w:hAnsi="Times New Roman"/>
          <w:caps w:val="false"/>
          <w:smallCaps w:val="false"/>
          <w:sz w:val="20"/>
        </w:rPr>
        <w:t>3/ 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709</Words>
  <Characters>3726</Characters>
  <CharactersWithSpaces>4445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