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826.htm"/>
      <w:bookmarkStart w:id="1" w:name="ksf8k_072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29, 2026</w:t>
      </w:r>
    </w:p>
    <w:p>
      <w:pPr>
        <w:pStyle w:val="TextBody"/>
        <w:bidi w:val="0"/>
        <w:jc w:val="center"/>
        <w:rPr/>
      </w:pPr>
      <w:r>
        <w:rPr/>
        <w:t>_______________________________</w:t>
      </w:r>
    </w:p>
    <w:p>
      <w:pPr>
        <w:pStyle w:val="TextBody"/>
        <w:bidi w:val="0"/>
        <w:spacing w:before="120" w:after="283"/>
        <w:jc w:val="center"/>
        <w:rPr>
          <w:b/>
          <w:sz w:val="24"/>
        </w:rPr>
      </w:pPr>
      <w:r>
        <w:rPr>
          <w:b/>
          <w:sz w:val="24"/>
        </w:rPr>
        <w:t>Filana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 xml:space="preserve">Delaware </w:t>
            </w:r>
          </w:p>
        </w:tc>
        <w:tc>
          <w:tcPr>
            <w:tcW w:w="2210" w:type="dxa"/>
            <w:tcBorders/>
            <w:vAlign w:val="center"/>
          </w:tcPr>
          <w:p>
            <w:pPr>
              <w:pStyle w:val="TableContents"/>
              <w:bidi w:val="0"/>
              <w:spacing w:before="0" w:after="283"/>
              <w:jc w:val="center"/>
              <w:rPr>
                <w:b/>
                <w:sz w:val="20"/>
              </w:rPr>
            </w:pPr>
            <w:r>
              <w:rPr>
                <w:b/>
                <w:sz w:val="20"/>
              </w:rPr>
              <w:t>001-41905</w:t>
            </w:r>
          </w:p>
        </w:tc>
        <w:tc>
          <w:tcPr>
            <w:tcW w:w="2900" w:type="dxa"/>
            <w:tcBorders/>
            <w:vAlign w:val="center"/>
          </w:tcPr>
          <w:p>
            <w:pPr>
              <w:pStyle w:val="TableContents"/>
              <w:bidi w:val="0"/>
              <w:spacing w:before="0" w:after="283"/>
              <w:jc w:val="center"/>
              <w:rPr>
                <w:b/>
                <w:sz w:val="20"/>
              </w:rPr>
            </w:pPr>
            <w:r>
              <w:rPr>
                <w:b/>
                <w:sz w:val="20"/>
              </w:rPr>
              <w:t>91-1911336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6801 N Capital of Texas Highway, Building 1; Suite 300</w:t>
      </w:r>
    </w:p>
    <w:p>
      <w:pPr>
        <w:pStyle w:val="TextBody"/>
        <w:bidi w:val="0"/>
        <w:spacing w:before="0" w:after="0"/>
        <w:jc w:val="center"/>
        <w:rPr>
          <w:b/>
          <w:sz w:val="20"/>
        </w:rPr>
      </w:pPr>
      <w:r>
        <w:rPr>
          <w:b/>
          <w:sz w:val="20"/>
        </w:rPr>
        <w:t>Austin, Texas 78731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(512) 501-2444</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xml:space="preserve">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845" w:type="dxa"/>
        <w:jc w:val="left"/>
        <w:tblInd w:w="0" w:type="dxa"/>
        <w:tblLayout w:type="fixed"/>
        <w:tblCellMar>
          <w:top w:w="0" w:type="dxa"/>
          <w:left w:w="0" w:type="dxa"/>
          <w:bottom w:w="28" w:type="dxa"/>
          <w:right w:w="0" w:type="dxa"/>
        </w:tblCellMar>
      </w:tblPr>
      <w:tblGrid>
        <w:gridCol w:w="2735"/>
        <w:gridCol w:w="1535"/>
        <w:gridCol w:w="3575"/>
      </w:tblGrid>
      <w:tr>
        <w:trPr/>
        <w:tc>
          <w:tcPr>
            <w:tcW w:w="273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sz w:val="20"/>
              </w:rPr>
            </w:pPr>
            <w:r>
              <w:rPr>
                <w:sz w:val="20"/>
              </w:rPr>
              <w:t>Common Stock, $0.001 par value</w:t>
            </w:r>
          </w:p>
        </w:tc>
        <w:tc>
          <w:tcPr>
            <w:tcW w:w="1535" w:type="dxa"/>
            <w:tcBorders/>
            <w:tcMar>
              <w:bottom w:w="0" w:type="dxa"/>
            </w:tcMar>
            <w:vAlign w:val="center"/>
          </w:tcPr>
          <w:p>
            <w:pPr>
              <w:pStyle w:val="TableContents"/>
              <w:bidi w:val="0"/>
              <w:spacing w:before="0" w:after="283"/>
              <w:jc w:val="center"/>
              <w:rPr>
                <w:sz w:val="20"/>
              </w:rPr>
            </w:pPr>
            <w:r>
              <w:rPr>
                <w:sz w:val="20"/>
              </w:rPr>
              <w:t>FLNA</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jc w:val="left"/>
        <w:rPr/>
      </w:pPr>
      <w:r>
        <w:rPr/>
        <w:t> </w:t>
      </w:r>
    </w:p>
    <w:p>
      <w:pPr>
        <w:pStyle w:val="TextBody"/>
        <w:bidi w:val="0"/>
        <w:spacing w:before="0" w:after="0"/>
        <w:jc w:val="left"/>
        <w:rPr>
          <w:sz w:val="20"/>
        </w:rPr>
      </w:pPr>
      <w:r>
        <w:rPr>
          <w:sz w:val="20"/>
        </w:rPr>
        <w:t>On July 29, 2026, the Registrant issued a press release, a copy of which is attached hereto as Exhibit 99.1 and is incorporated herein by reference.</w:t>
      </w:r>
    </w:p>
    <w:p>
      <w:pPr>
        <w:pStyle w:val="TextBody"/>
        <w:bidi w:val="0"/>
        <w:spacing w:before="0" w:after="0"/>
        <w:jc w:val="left"/>
        <w:rPr/>
      </w:pPr>
      <w:r>
        <w:rPr/>
        <w:t> </w:t>
      </w:r>
    </w:p>
    <w:p>
      <w:pPr>
        <w:pStyle w:val="TextBody"/>
        <w:bidi w:val="0"/>
        <w:spacing w:before="0" w:after="0"/>
        <w:jc w:val="left"/>
        <w:rPr>
          <w:sz w:val="20"/>
        </w:rPr>
      </w:pPr>
      <w:r>
        <w:rPr>
          <w:sz w:val="20"/>
        </w:rPr>
        <w:t>The information provided in this Current Report, including Exhibit 99.1 attached hereto, is being furnished and shall not be deemed “filed” for the purposes of Section 18 of the Securities Exchange Act of 1934, as amended (the “Exchange Act”), or otherwise subject to the liabilities of that Section. Such information shall not be incorporated by reference into any filing under the Securities Act of 1933, as amended, or the Exchange Act, regardless of any incorporation by reference language in such filing.</w:t>
      </w:r>
    </w:p>
    <w:p>
      <w:pPr>
        <w:pStyle w:val="TextBody"/>
        <w:bidi w:val="0"/>
        <w:spacing w:before="0" w:after="0"/>
        <w:jc w:val="left"/>
        <w:rPr/>
      </w:pPr>
      <w:r>
        <w:rPr/>
        <w:t> </w:t>
      </w:r>
    </w:p>
    <w:p>
      <w:pPr>
        <w:pStyle w:val="TextBody"/>
        <w:bidi w:val="0"/>
        <w:spacing w:before="0" w:after="0"/>
        <w:jc w:val="left"/>
        <w:rPr/>
      </w:pPr>
      <w:r>
        <w:rPr>
          <w:rStyle w:val="StrongEmphasis"/>
          <w:sz w:val="20"/>
        </w:rPr>
        <w:t>Item 9.01. Financial Statements and Exhibits.</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29,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3855" w:type="dxa"/>
        <w:jc w:val="left"/>
        <w:tblInd w:w="0" w:type="dxa"/>
        <w:tblLayout w:type="fixed"/>
        <w:tblCellMar>
          <w:top w:w="0" w:type="dxa"/>
          <w:left w:w="0" w:type="dxa"/>
          <w:bottom w:w="0" w:type="dxa"/>
          <w:right w:w="0" w:type="dxa"/>
        </w:tblCellMar>
      </w:tblPr>
      <w:tblGrid>
        <w:gridCol w:w="1610"/>
        <w:gridCol w:w="365"/>
        <w:gridCol w:w="1880"/>
      </w:tblGrid>
      <w:tr>
        <w:trPr/>
        <w:tc>
          <w:tcPr>
            <w:tcW w:w="161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b/>
                <w:sz w:val="20"/>
              </w:rPr>
            </w:pPr>
            <w:r>
              <w:rPr>
                <w:b/>
                <w:sz w:val="20"/>
              </w:rPr>
              <w:t>Filana Therapeutics, Inc.</w:t>
            </w:r>
          </w:p>
        </w:tc>
      </w:tr>
      <w:tr>
        <w:trPr/>
        <w:tc>
          <w:tcPr>
            <w:tcW w:w="161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sz w:val="20"/>
              </w:rPr>
            </w:pPr>
            <w:r>
              <w:rPr>
                <w:sz w:val="20"/>
              </w:rPr>
              <w:t>a Delaware corporation</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29, 2026</w:t>
            </w:r>
          </w:p>
        </w:tc>
        <w:tc>
          <w:tcPr>
            <w:tcW w:w="365" w:type="dxa"/>
            <w:tcBorders/>
            <w:vAlign w:val="center"/>
          </w:tcPr>
          <w:p>
            <w:pPr>
              <w:pStyle w:val="TableContents"/>
              <w:bidi w:val="0"/>
              <w:spacing w:before="0" w:after="283"/>
              <w:jc w:val="left"/>
              <w:rPr>
                <w:sz w:val="20"/>
              </w:rPr>
            </w:pPr>
            <w:r>
              <w:rPr>
                <w:sz w:val="20"/>
              </w:rPr>
              <w:t>By: </w:t>
            </w:r>
          </w:p>
        </w:tc>
        <w:tc>
          <w:tcPr>
            <w:tcW w:w="1880" w:type="dxa"/>
            <w:tcBorders/>
            <w:vAlign w:val="center"/>
          </w:tcPr>
          <w:p>
            <w:pPr>
              <w:pStyle w:val="TableContents"/>
              <w:bidi w:val="0"/>
              <w:spacing w:before="0" w:after="283"/>
              <w:jc w:val="left"/>
              <w:rPr>
                <w:sz w:val="20"/>
                <w:u w:val="single"/>
              </w:rPr>
            </w:pPr>
            <w:r>
              <w:rPr>
                <w:sz w:val="20"/>
                <w:u w:val="single"/>
              </w:rPr>
              <w:t>/s/ Eric J. Schoen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Eric J. Schoen</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Filana Therapeutics Reports Q2 2026 Financial Results and Provides Business Update</w:t>
      </w:r>
    </w:p>
    <w:p>
      <w:pPr>
        <w:pStyle w:val="TextBody"/>
        <w:bidi w:val="0"/>
        <w:jc w:val="both"/>
        <w:rPr/>
      </w:pPr>
      <w:r>
        <w:rPr/>
        <w:t>AUSTIN, Texas, July 29, 2026 (GLOBE NEWSWIRE) -- Filana Therapeutics, Inc. (NASDAQ: FLNA, “Filana Therapeutics”, the “Company”), a biotechnology company currently focused on developing therapies for Tuberous Sclerosis Complex (TSC)-related epilepsy, today reported financial results for the second quarter ended June 30, 2026 and provided a business update.</w:t>
      </w:r>
    </w:p>
    <w:p>
      <w:pPr>
        <w:pStyle w:val="TextBody"/>
        <w:bidi w:val="0"/>
        <w:jc w:val="both"/>
        <w:rPr/>
      </w:pPr>
      <w:r>
        <w:rPr/>
        <w:t>“</w:t>
      </w:r>
      <w:r>
        <w:rPr/>
        <w:t>The Company continues to engage with the FDA regarding the clinical hold on its proof-of-concept trial in TSC-related epilepsy. The Company is working diligently to address the FDA’s request for information in order to have the clinical hold lifted,” said </w:t>
      </w:r>
      <w:r>
        <w:rPr>
          <w:rStyle w:val="StrongEmphasis"/>
        </w:rPr>
        <w:t>Rick Barry, President and Chief Executive Officer </w:t>
      </w:r>
      <w:r>
        <w:rPr/>
        <w:t>of Filana Therapeutics, Inc. “In the meantime, we continue to work actively with the TSC community. Participation in the TSC World Conference this week will keep us connected and prepared for future development of simufilam as the regulatory process continues.”</w:t>
      </w:r>
    </w:p>
    <w:p>
      <w:pPr>
        <w:pStyle w:val="TextBody"/>
        <w:bidi w:val="0"/>
        <w:jc w:val="both"/>
        <w:rPr/>
      </w:pPr>
      <w:r>
        <w:rPr>
          <w:rStyle w:val="Emphasis"/>
        </w:rPr>
        <w:t>Scientific Presentations and Publications</w:t>
      </w:r>
    </w:p>
    <w:p>
      <w:pPr>
        <w:pStyle w:val="TextBody"/>
        <w:numPr>
          <w:ilvl w:val="0"/>
          <w:numId w:val="2"/>
        </w:numPr>
        <w:tabs>
          <w:tab w:val="clear" w:pos="1134"/>
          <w:tab w:val="left" w:pos="709" w:leader="none"/>
        </w:tabs>
        <w:bidi w:val="0"/>
        <w:ind w:left="709" w:hanging="283"/>
        <w:jc w:val="both"/>
        <w:rPr/>
      </w:pPr>
      <w:r>
        <w:rPr>
          <w:rStyle w:val="StrongEmphasis"/>
        </w:rPr>
        <w:t xml:space="preserve">Publication of Eilat XVIII Proceedings in </w:t>
      </w:r>
      <w:r>
        <w:rPr>
          <w:rStyle w:val="Emphasis"/>
        </w:rPr>
        <w:t>Epilepsia</w:t>
      </w:r>
      <w:r>
        <w:rPr/>
        <w:t xml:space="preserve">: Peer-reviewed proceedings of the Eighteenth Eilat Conference on New Antiepileptic Drugs and Devices (Eilat XVIII) have been published in </w:t>
      </w:r>
      <w:r>
        <w:rPr>
          <w:rStyle w:val="Emphasis"/>
        </w:rPr>
        <w:t>Epilepsia</w:t>
      </w:r>
      <w:r>
        <w:rPr/>
        <w:t>. The proceedings include a summary of the biological rationale and preclinical data supporting the Company’s simufilam program in TSC-related epilepsy, consistent with the presentation Filana Therapeutics delivered at the conference in Madrid, Spain, on May 5, 2026 (see Section 7 of the published proceedings)</w:t>
      </w:r>
      <w:r>
        <w:rPr>
          <w:position w:val="8"/>
          <w:sz w:val="19"/>
        </w:rPr>
        <w:t>1</w:t>
      </w:r>
      <w:r>
        <w:rPr/>
        <w:t>.</w:t>
      </w:r>
    </w:p>
    <w:p>
      <w:pPr>
        <w:pStyle w:val="TextBody"/>
        <w:bidi w:val="0"/>
        <w:jc w:val="both"/>
        <w:rPr/>
      </w:pPr>
      <w:r>
        <w:rPr>
          <w:rStyle w:val="Emphasis"/>
        </w:rPr>
        <w:t>TSC Community Engagement</w:t>
      </w:r>
    </w:p>
    <w:p>
      <w:pPr>
        <w:pStyle w:val="TextBody"/>
        <w:numPr>
          <w:ilvl w:val="0"/>
          <w:numId w:val="3"/>
        </w:numPr>
        <w:tabs>
          <w:tab w:val="clear" w:pos="1134"/>
          <w:tab w:val="left" w:pos="709" w:leader="none"/>
        </w:tabs>
        <w:bidi w:val="0"/>
        <w:ind w:left="709" w:hanging="283"/>
        <w:jc w:val="both"/>
        <w:rPr/>
      </w:pPr>
      <w:r>
        <w:rPr>
          <w:rStyle w:val="StrongEmphasis"/>
        </w:rPr>
        <w:t>Planned Participation in the 2026 TSC World Conference</w:t>
      </w:r>
      <w:r>
        <w:rPr/>
        <w:t>: Filana is a sponsor of the 2026 TSC World Conference, hosted by the TSC Alliance® and Tuberous Sclerosis Complex International (TSCi), to be held July 30 to August 1, 2026, in Aurora, Colorado. The conference, held every four years, promises to be one of the largest TSC gatherings around the globe, covering all aspects of TSC across a patient’s lifespan.</w:t>
      </w:r>
    </w:p>
    <w:p>
      <w:pPr>
        <w:pStyle w:val="TextBody"/>
        <w:bidi w:val="0"/>
        <w:jc w:val="both"/>
        <w:rPr/>
      </w:pPr>
      <w:r>
        <w:rPr>
          <w:rStyle w:val="Emphasis"/>
        </w:rPr>
        <w:t>Financial Results for Second Quarter 2026</w:t>
      </w:r>
    </w:p>
    <w:p>
      <w:pPr>
        <w:pStyle w:val="TextBody"/>
        <w:numPr>
          <w:ilvl w:val="0"/>
          <w:numId w:val="4"/>
        </w:numPr>
        <w:tabs>
          <w:tab w:val="clear" w:pos="1134"/>
          <w:tab w:val="left" w:pos="709" w:leader="none"/>
        </w:tabs>
        <w:bidi w:val="0"/>
        <w:spacing w:before="0" w:after="0"/>
        <w:ind w:left="709" w:hanging="283"/>
        <w:jc w:val="both"/>
        <w:rPr/>
      </w:pPr>
      <w:r>
        <w:rPr>
          <w:rStyle w:val="StrongEmphasis"/>
        </w:rPr>
        <w:t>Cash and cash equivalents</w:t>
      </w:r>
      <w:r>
        <w:rPr/>
        <w:t xml:space="preserve"> at June 30, 2026 were $82.7 million, compared to $95.5 million as of December 31, 2025. The Company has no debt.</w:t>
      </w:r>
    </w:p>
    <w:p>
      <w:pPr>
        <w:pStyle w:val="TextBody"/>
        <w:numPr>
          <w:ilvl w:val="0"/>
          <w:numId w:val="4"/>
        </w:numPr>
        <w:tabs>
          <w:tab w:val="clear" w:pos="1134"/>
          <w:tab w:val="left" w:pos="709" w:leader="none"/>
        </w:tabs>
        <w:bidi w:val="0"/>
        <w:spacing w:before="0" w:after="0"/>
        <w:ind w:left="709" w:hanging="283"/>
        <w:jc w:val="both"/>
        <w:rPr/>
      </w:pPr>
      <w:r>
        <w:rPr>
          <w:rStyle w:val="StrongEmphasis"/>
        </w:rPr>
        <w:t>Research and development (R&amp;D)</w:t>
      </w:r>
      <w:r>
        <w:rPr/>
        <w:t xml:space="preserve"> expenses for the second quarter of 2026 were $3.3 million. This compared to $5.1 million for the same period in 2025. This 35% decrease was due primarily to the previously reported phase out of the Alzheimer’s disease development program, completed in the second quarter of 2025. Expenses for the TSC-related epilepsy program are expected to be significantly lower compared to those for the Alzheimer’s disease program.</w:t>
      </w:r>
    </w:p>
    <w:p>
      <w:pPr>
        <w:pStyle w:val="TextBody"/>
        <w:numPr>
          <w:ilvl w:val="0"/>
          <w:numId w:val="4"/>
        </w:numPr>
        <w:tabs>
          <w:tab w:val="clear" w:pos="1134"/>
          <w:tab w:val="left" w:pos="709" w:leader="none"/>
        </w:tabs>
        <w:bidi w:val="0"/>
        <w:spacing w:before="0" w:after="0"/>
        <w:ind w:left="709" w:hanging="283"/>
        <w:jc w:val="both"/>
        <w:rPr/>
      </w:pPr>
      <w:r>
        <w:rPr>
          <w:rStyle w:val="StrongEmphasis"/>
        </w:rPr>
        <w:t>General and administrative (G&amp;A)</w:t>
      </w:r>
      <w:r>
        <w:rPr/>
        <w:t xml:space="preserve"> expenses for the second quarter of 2026 were $6.1 million. This compared to $40.3 million for the same period in 2025. The 85% decrease was due primarily to a $31.25 million securities litigation loss contingency recorded in the second quarter of 2025 not being repeated in 2026.</w:t>
      </w:r>
    </w:p>
    <w:p>
      <w:pPr>
        <w:pStyle w:val="TextBody"/>
        <w:numPr>
          <w:ilvl w:val="0"/>
          <w:numId w:val="4"/>
        </w:numPr>
        <w:tabs>
          <w:tab w:val="clear" w:pos="1134"/>
          <w:tab w:val="left" w:pos="709" w:leader="none"/>
        </w:tabs>
        <w:bidi w:val="0"/>
        <w:spacing w:before="0" w:after="0"/>
        <w:ind w:left="709" w:hanging="283"/>
        <w:jc w:val="both"/>
        <w:rPr/>
      </w:pPr>
      <w:r>
        <w:rPr>
          <w:rStyle w:val="StrongEmphasis"/>
        </w:rPr>
        <w:t>Net cash used in operations</w:t>
      </w:r>
      <w:r>
        <w:rPr/>
        <w:t xml:space="preserve"> was $12.7 million during first-half of 2026 and below previous guidance.</w:t>
      </w:r>
    </w:p>
    <w:p>
      <w:pPr>
        <w:pStyle w:val="TextBody"/>
        <w:numPr>
          <w:ilvl w:val="0"/>
          <w:numId w:val="4"/>
        </w:numPr>
        <w:tabs>
          <w:tab w:val="clear" w:pos="1134"/>
          <w:tab w:val="left" w:pos="709" w:leader="none"/>
        </w:tabs>
        <w:bidi w:val="0"/>
        <w:spacing w:before="0" w:after="0"/>
        <w:ind w:left="709" w:hanging="283"/>
        <w:jc w:val="both"/>
        <w:rPr/>
      </w:pPr>
      <w:r>
        <w:rPr>
          <w:rStyle w:val="StrongEmphasis"/>
        </w:rPr>
        <w:t xml:space="preserve">Litigation Settlement: </w:t>
      </w:r>
      <w:r>
        <w:rPr/>
        <w:t>On July 23, 2026, the Company paid $31.25 million into escrow in connection with the potential settlement of certain securities litigation recorded in 2025. This funding is a step toward final resolution of the matter, and this cash will remain restricted subject to final court approval.</w:t>
      </w:r>
    </w:p>
    <w:p>
      <w:pPr>
        <w:pStyle w:val="TextBody"/>
        <w:numPr>
          <w:ilvl w:val="0"/>
          <w:numId w:val="4"/>
        </w:numPr>
        <w:tabs>
          <w:tab w:val="clear" w:pos="1134"/>
          <w:tab w:val="left" w:pos="709" w:leader="none"/>
        </w:tabs>
        <w:bidi w:val="0"/>
        <w:spacing w:before="0" w:after="0"/>
        <w:ind w:left="709" w:hanging="283"/>
        <w:jc w:val="both"/>
        <w:rPr/>
      </w:pPr>
      <w:r>
        <w:rPr>
          <w:rStyle w:val="StrongEmphasis"/>
        </w:rPr>
        <w:t>Net cash used in operations for second-half 2026</w:t>
      </w:r>
      <w:r>
        <w:rPr/>
        <w:t xml:space="preserve"> is expected to be in a range from $11 to $15 million, plus the $31.25 million litigation settlement funding described above. The Company estimates unrestricted cash at year-end 2026 in a range from $36 to $40 million.</w:t>
      </w:r>
    </w:p>
    <w:p>
      <w:pPr>
        <w:pStyle w:val="TextBody"/>
        <w:numPr>
          <w:ilvl w:val="0"/>
          <w:numId w:val="4"/>
        </w:numPr>
        <w:tabs>
          <w:tab w:val="clear" w:pos="1134"/>
          <w:tab w:val="left" w:pos="709" w:leader="none"/>
        </w:tabs>
        <w:bidi w:val="0"/>
        <w:spacing w:before="0" w:after="0"/>
        <w:ind w:left="709" w:hanging="283"/>
        <w:jc w:val="both"/>
        <w:rPr/>
      </w:pPr>
      <w:r>
        <w:rPr>
          <w:rStyle w:val="StrongEmphasis"/>
        </w:rPr>
        <w:t>Net loss</w:t>
      </w:r>
      <w:r>
        <w:rPr/>
        <w:t xml:space="preserve"> for the second quarter of 2026 was $8.6 million, or $0.18 per share. This compares to a net loss of $44.2 million, or $0.92 per share, for the same period in 2025.</w:t>
      </w:r>
    </w:p>
    <w:p>
      <w:pPr>
        <w:pStyle w:val="TextBody"/>
        <w:numPr>
          <w:ilvl w:val="0"/>
          <w:numId w:val="4"/>
        </w:numPr>
        <w:tabs>
          <w:tab w:val="clear" w:pos="1134"/>
          <w:tab w:val="left" w:pos="709" w:leader="none"/>
        </w:tabs>
        <w:bidi w:val="0"/>
        <w:ind w:left="709" w:hanging="283"/>
        <w:jc w:val="both"/>
        <w:rPr/>
      </w:pPr>
      <w:r>
        <w:rPr>
          <w:rStyle w:val="StrongEmphasis"/>
        </w:rPr>
        <w:t xml:space="preserve">Shares outstanding </w:t>
      </w:r>
      <w:r>
        <w:rPr/>
        <w:t>were 48.3 million as of July 27, 2026.</w:t>
      </w:r>
    </w:p>
    <w:p>
      <w:pPr>
        <w:pStyle w:val="TextBody"/>
        <w:bidi w:val="0"/>
        <w:spacing w:before="0" w:after="283"/>
        <w:jc w:val="left"/>
        <w:rPr/>
      </w:pPr>
      <w:r>
        <w:rPr>
          <w:rStyle w:val="StrongEmphasis"/>
        </w:rPr>
        <w:t>About TSC and TSC-related Epilepsy</w:t>
      </w:r>
    </w:p>
    <w:p>
      <w:pPr>
        <w:pStyle w:val="TextBody"/>
        <w:bidi w:val="0"/>
        <w:jc w:val="both"/>
        <w:rPr/>
      </w:pPr>
      <w:r>
        <w:rPr/>
        <w:t xml:space="preserve">TSC is a rare genetic disorder resulting from a mutation in the </w:t>
      </w:r>
      <w:r>
        <w:rPr>
          <w:rStyle w:val="Emphasis"/>
        </w:rPr>
        <w:t>TSC1</w:t>
      </w:r>
      <w:r>
        <w:rPr/>
        <w:t xml:space="preserve"> or </w:t>
      </w:r>
      <w:r>
        <w:rPr>
          <w:rStyle w:val="Emphasis"/>
        </w:rPr>
        <w:t>TSC2</w:t>
      </w:r>
      <w:r>
        <w:rPr/>
        <w:t xml:space="preserve"> gene. These mutations affect the mechanistic target of rapamycin (mTOR) pathway and can cause tumors to grow in multiple organs</w:t>
      </w:r>
      <w:r>
        <w:rPr>
          <w:position w:val="8"/>
          <w:sz w:val="19"/>
        </w:rPr>
        <w:t>2,3</w:t>
      </w:r>
      <w:r>
        <w:rPr/>
        <w:t>. Epilepsy is the most common health issue affecting the TSC community, with 80% to 90% of TSC patients experiencing seizures</w:t>
      </w:r>
      <w:r>
        <w:rPr>
          <w:position w:val="8"/>
          <w:sz w:val="19"/>
        </w:rPr>
        <w:t>4</w:t>
      </w:r>
      <w:r>
        <w:rPr/>
        <w:t>. TSC-related epilepsy affects approximately 45,000 people in the U.S.</w:t>
      </w:r>
      <w:r>
        <w:rPr>
          <w:position w:val="8"/>
          <w:sz w:val="19"/>
        </w:rPr>
        <w:t>2,5</w:t>
      </w:r>
      <w:r>
        <w:rPr/>
        <w:t xml:space="preserve"> Most patients start having seizures within their first year of life</w:t>
      </w:r>
      <w:r>
        <w:rPr>
          <w:position w:val="8"/>
          <w:sz w:val="19"/>
        </w:rPr>
        <w:t>5</w:t>
      </w:r>
      <w:r>
        <w:rPr/>
        <w:t>. Even with multiple approved treatments, more than 60% of TSC patients remain refractory to antiepileptic therapy</w:t>
      </w:r>
      <w:r>
        <w:rPr>
          <w:position w:val="8"/>
          <w:sz w:val="19"/>
        </w:rPr>
        <w:t>6</w:t>
      </w:r>
      <w:r>
        <w:rPr/>
        <w:t>.</w:t>
      </w:r>
    </w:p>
    <w:p>
      <w:pPr>
        <w:pStyle w:val="TextBody"/>
        <w:bidi w:val="0"/>
        <w:spacing w:before="0" w:after="283"/>
        <w:jc w:val="left"/>
        <w:rPr/>
      </w:pPr>
      <w:r>
        <w:rPr>
          <w:rStyle w:val="StrongEmphasis"/>
        </w:rPr>
        <w:t>About Filana Therapeutics, Inc.</w:t>
      </w:r>
    </w:p>
    <w:p>
      <w:pPr>
        <w:pStyle w:val="TextBody"/>
        <w:bidi w:val="0"/>
        <w:jc w:val="both"/>
        <w:rPr/>
      </w:pPr>
      <w:r>
        <w:rPr/>
        <w:t>Filana Therapeutics, Inc. (NASDAQ: FLNA), is a biotechnology company focused on developing novel, investigational therapies to modulate the filamin A protein for the treatment of central nervous system disorders, such as tuberous sclerosis complex (TSC)-related epilepsy, and other diseases associated with dysregulation or overexpression of filamin A.</w:t>
      </w:r>
    </w:p>
    <w:p>
      <w:pPr>
        <w:pStyle w:val="TextBody"/>
        <w:bidi w:val="0"/>
        <w:spacing w:before="0" w:after="283"/>
        <w:jc w:val="left"/>
        <w:rPr/>
      </w:pPr>
      <w:r>
        <w:rPr/>
        <w:t>For more information, please visit: https://www.FilanaTx.com</w:t>
      </w:r>
    </w:p>
    <w:p>
      <w:pPr>
        <w:pStyle w:val="TextBody"/>
        <w:bidi w:val="0"/>
        <w:spacing w:before="0" w:after="283"/>
        <w:jc w:val="left"/>
        <w:rPr/>
      </w:pPr>
      <w:r>
        <w:rPr/>
        <w:t>References:</w:t>
      </w:r>
    </w:p>
    <w:p>
      <w:pPr>
        <w:pStyle w:val="TextBody"/>
        <w:numPr>
          <w:ilvl w:val="0"/>
          <w:numId w:val="5"/>
        </w:numPr>
        <w:tabs>
          <w:tab w:val="clear" w:pos="1134"/>
          <w:tab w:val="left" w:pos="709" w:leader="none"/>
        </w:tabs>
        <w:bidi w:val="0"/>
        <w:spacing w:before="0" w:after="0"/>
        <w:ind w:left="709" w:hanging="283"/>
        <w:jc w:val="both"/>
        <w:rPr/>
      </w:pPr>
      <w:r>
        <w:rPr>
          <w:rStyle w:val="Emphasis"/>
        </w:rPr>
        <w:t>Bialer M, Johannessen Landmark C, Koepp MJ, Perucca E, Perucca P, Tomson T, et al. Progress report on new epilepsy treatments: a summary of the Eighteenth Eilat Conference on New Antiepileptic Drugs and Devices (EILAT XVIII). I. Treatments in preclinical and early clinical development. Epilepsia. 2026. doi:10.1002/epi.70354. https://onlinelibrary.wiley.com/doi/full/10.1002/epi.70354</w:t>
      </w:r>
    </w:p>
    <w:p>
      <w:pPr>
        <w:pStyle w:val="TextBody"/>
        <w:numPr>
          <w:ilvl w:val="0"/>
          <w:numId w:val="5"/>
        </w:numPr>
        <w:tabs>
          <w:tab w:val="clear" w:pos="1134"/>
          <w:tab w:val="left" w:pos="709" w:leader="none"/>
        </w:tabs>
        <w:bidi w:val="0"/>
        <w:spacing w:before="0" w:after="0"/>
        <w:ind w:left="709" w:hanging="283"/>
        <w:jc w:val="both"/>
        <w:rPr/>
      </w:pPr>
      <w:r>
        <w:rPr>
          <w:rStyle w:val="Emphasis"/>
        </w:rPr>
        <w:t>https://www.tscalliance.org/understanding-tsc/what-is-tsc/</w:t>
      </w:r>
    </w:p>
    <w:p>
      <w:pPr>
        <w:pStyle w:val="TextBody"/>
        <w:numPr>
          <w:ilvl w:val="0"/>
          <w:numId w:val="5"/>
        </w:numPr>
        <w:tabs>
          <w:tab w:val="clear" w:pos="1134"/>
          <w:tab w:val="left" w:pos="709" w:leader="none"/>
        </w:tabs>
        <w:bidi w:val="0"/>
        <w:spacing w:before="0" w:after="0"/>
        <w:ind w:left="709" w:hanging="283"/>
        <w:jc w:val="both"/>
        <w:rPr/>
      </w:pPr>
      <w:r>
        <w:rPr>
          <w:rStyle w:val="Emphasis"/>
        </w:rPr>
        <w:t>https://www.tscalliance.org/understanding-tsc/genetics/</w:t>
      </w:r>
    </w:p>
    <w:p>
      <w:pPr>
        <w:pStyle w:val="TextBody"/>
        <w:numPr>
          <w:ilvl w:val="0"/>
          <w:numId w:val="5"/>
        </w:numPr>
        <w:tabs>
          <w:tab w:val="clear" w:pos="1134"/>
          <w:tab w:val="left" w:pos="709" w:leader="none"/>
        </w:tabs>
        <w:bidi w:val="0"/>
        <w:spacing w:before="0" w:after="0"/>
        <w:ind w:left="709" w:hanging="283"/>
        <w:jc w:val="both"/>
        <w:rPr/>
      </w:pPr>
      <w:r>
        <w:rPr>
          <w:rStyle w:val="Emphasis"/>
        </w:rPr>
        <w:t>Crino P, Nathanson K, Petri Henske, E. The Tuberous Sclerosis Complex. N Engl J Med. (2006) 355 (13):1345-56. DOI: 10.1056/NEJMra055323</w:t>
      </w:r>
    </w:p>
    <w:p>
      <w:pPr>
        <w:pStyle w:val="TextBody"/>
        <w:numPr>
          <w:ilvl w:val="0"/>
          <w:numId w:val="5"/>
        </w:numPr>
        <w:tabs>
          <w:tab w:val="clear" w:pos="1134"/>
          <w:tab w:val="left" w:pos="709" w:leader="none"/>
        </w:tabs>
        <w:bidi w:val="0"/>
        <w:spacing w:before="0" w:after="0"/>
        <w:ind w:left="709" w:hanging="283"/>
        <w:jc w:val="both"/>
        <w:rPr/>
      </w:pPr>
      <w:r>
        <w:rPr>
          <w:rStyle w:val="Emphasis"/>
        </w:rPr>
        <w:t>Zhang L, Huang T, Teaw S, Nguyen LH, Hsieh LS, Wong X, Burns LH, Bordey A. Filamin A inhibition reduces seizure activity in a mouse model of focal cortical malformations. Science Translational Medicine. (2020) 12(531):eaay0289. DOI: 10.1126/scitranslmed.aay0289</w:t>
      </w:r>
    </w:p>
    <w:p>
      <w:pPr>
        <w:pStyle w:val="TextBody"/>
        <w:numPr>
          <w:ilvl w:val="0"/>
          <w:numId w:val="5"/>
        </w:numPr>
        <w:tabs>
          <w:tab w:val="clear" w:pos="1134"/>
          <w:tab w:val="left" w:pos="709" w:leader="none"/>
        </w:tabs>
        <w:bidi w:val="0"/>
        <w:ind w:left="709" w:hanging="283"/>
        <w:jc w:val="both"/>
        <w:rPr/>
      </w:pPr>
      <w:r>
        <w:rPr>
          <w:rStyle w:val="Emphasis"/>
        </w:rPr>
        <w:t>Chu-Shore, C. J., Major, P., Camposano, S., Muzykewicz, D., &amp; Thiele, E. A. (2010). The natural history of epilepsy in tuberous sclerosis complex. Epilepsia, 51(7), 1236–1241. https://doi.org/10.1111/j.1528-1167.2009.02474.x</w:t>
      </w:r>
    </w:p>
    <w:p>
      <w:pPr>
        <w:pStyle w:val="TextBody"/>
        <w:bidi w:val="0"/>
        <w:spacing w:before="0" w:after="283"/>
        <w:jc w:val="left"/>
        <w:rPr/>
      </w:pPr>
      <w:r>
        <w:rPr>
          <w:rStyle w:val="StrongEmphasis"/>
        </w:rPr>
        <w:t>For More Information Contact:</w:t>
      </w:r>
      <w:r>
        <w:rPr/>
        <w:br/>
      </w:r>
      <w:r>
        <w:rPr>
          <w:rStyle w:val="StrongEmphasis"/>
        </w:rPr>
        <w:t>Investors</w:t>
      </w:r>
      <w:r>
        <w:rPr/>
        <w:br/>
        <w:t>Mike Moyer</w:t>
        <w:br/>
        <w:t>mmoyer@lifesciadvisors.com</w:t>
      </w:r>
    </w:p>
    <w:p>
      <w:pPr>
        <w:pStyle w:val="TextBody"/>
        <w:bidi w:val="0"/>
        <w:spacing w:before="0" w:after="283"/>
        <w:jc w:val="left"/>
        <w:rPr/>
      </w:pPr>
      <w:r>
        <w:rPr>
          <w:rStyle w:val="StrongEmphasis"/>
        </w:rPr>
        <w:t>Company</w:t>
      </w:r>
      <w:r>
        <w:rPr/>
        <w:br/>
        <w:t>Eric Schoen, Chief Financial Officer</w:t>
        <w:br/>
        <w:t>(512) 501-2450</w:t>
        <w:br/>
        <w:t>ESchoen@FilanaTx.com</w:t>
        <w:br/>
        <w:t>IR@FilanaTx.com</w:t>
      </w:r>
    </w:p>
    <w:p>
      <w:pPr>
        <w:pStyle w:val="TextBody"/>
        <w:bidi w:val="0"/>
        <w:spacing w:before="0" w:after="283"/>
        <w:jc w:val="left"/>
        <w:rPr/>
      </w:pPr>
      <w:r>
        <w:rPr>
          <w:rStyle w:val="Emphasis"/>
        </w:rPr>
        <w:t xml:space="preserve">Cautionary Note Regarding Forward-Looking Statements: </w:t>
      </w:r>
    </w:p>
    <w:p>
      <w:pPr>
        <w:pStyle w:val="TextBody"/>
        <w:bidi w:val="0"/>
        <w:jc w:val="both"/>
        <w:rPr/>
      </w:pPr>
      <w:r>
        <w:rPr>
          <w:rStyle w:val="Emphasis"/>
        </w:rPr>
        <w:t xml:space="preserve">This news release contains forward-looking statements that may include but are not limited to statements regarding: our ability to successfully engage with, and satisfactorily respond to, requests for additional information from the U.S. Food and Drug Administration (FDA) concerning the full clinical hold on our investigational new drug application (IND) for simufilam in TSC-related epilepsy and the timing and outcomes of such interactions, the potential resolution of certain securities litigation and our loss contingency estimates related thereto, the timing and plans to conduct clinical studies with simufilam following approval of our IND, our plans to conduct additional preclinical studies of simufilam relating to seizures in TSC, the potential for simufilam as a treatment for TSC-related epilepsy and other potential indications, the timing of anticipated milestones, expected cash balances and cash use in future periods. These statements may be identified by words such as “anticipate”, “before”, “believe”, “could”, “expect”, “forecast”, “intend”, “may”, ”pending”, “plan”, “possible”, “potential”, “prepares for”, “will”, and other words and terms of similar meaning. </w:t>
      </w:r>
    </w:p>
    <w:p>
      <w:pPr>
        <w:pStyle w:val="TextBody"/>
        <w:bidi w:val="0"/>
        <w:jc w:val="both"/>
        <w:rPr/>
      </w:pPr>
      <w:r>
        <w:rPr>
          <w:rStyle w:val="Emphasis"/>
        </w:rPr>
        <w:t>Such statements are based on our current expectations and projections about future events. Such statements speak only as of the date of this news release and are subject to a number of risks, uncertainties and assumptions, including, but not limited to, those risks relating to our ability to provide FDA with additional information, including additional pre-clinical data, and modifying the proposed clinical trial protocol design, to satisfy completion of FDA’s review and release of full clinical hold, the ability to advance preclinical studies related to TSC-related epilepsy, and other potential indications, the ability to initiate an initial proof-of-concept study of simufilam in TSC-related epilepsy, and other risks inherent in drug discovery and development or specific to Filana Therapeutics, Inc., as described in the section entitled “Risk Factors” in our Annual Report on Form 10-K for the year ended December 31, 2025 and subsequent reports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www.sec.gov.</w:t>
      </w:r>
    </w:p>
    <w:p>
      <w:pPr>
        <w:pStyle w:val="TextBody"/>
        <w:bidi w:val="0"/>
        <w:jc w:val="both"/>
        <w:rPr/>
      </w:pPr>
      <w:r>
        <w:rPr>
          <w:rStyle w:val="Emphasis"/>
        </w:rPr>
        <w:t>All of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is approved or available for sale anywhere in the world.</w:t>
      </w:r>
    </w:p>
    <w:p>
      <w:pPr>
        <w:pStyle w:val="TextBody"/>
        <w:bidi w:val="0"/>
        <w:jc w:val="both"/>
        <w:rPr/>
      </w:pPr>
      <w:r>
        <w:rPr>
          <w:rStyle w:val="Emphasis"/>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pStyle w:val="TextBody"/>
        <w:bidi w:val="0"/>
        <w:jc w:val="both"/>
        <w:rPr/>
      </w:pPr>
      <w:r>
        <w:rPr>
          <w:rStyle w:val="Emphasis"/>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p>
      <w:pPr>
        <w:pStyle w:val="TextBody"/>
        <w:bidi w:val="0"/>
        <w:jc w:val="center"/>
        <w:rPr/>
      </w:pPr>
      <w:r>
        <w:rPr/>
        <w:t xml:space="preserve">– </w:t>
      </w:r>
      <w:r>
        <w:rPr/>
        <w:t>Financial Tables Follow –</w:t>
      </w:r>
    </w:p>
    <w:tbl>
      <w:tblPr>
        <w:tblW w:w="10205" w:type="dxa"/>
        <w:jc w:val="left"/>
        <w:tblInd w:w="0" w:type="dxa"/>
        <w:tblLayout w:type="fixed"/>
        <w:tblCellMar>
          <w:top w:w="28" w:type="dxa"/>
          <w:left w:w="28" w:type="dxa"/>
          <w:bottom w:w="28" w:type="dxa"/>
          <w:right w:w="28" w:type="dxa"/>
        </w:tblCellMar>
      </w:tblPr>
      <w:tblGrid>
        <w:gridCol w:w="4208"/>
        <w:gridCol w:w="230"/>
        <w:gridCol w:w="981"/>
        <w:gridCol w:w="184"/>
        <w:gridCol w:w="146"/>
        <w:gridCol w:w="266"/>
        <w:gridCol w:w="1135"/>
        <w:gridCol w:w="213"/>
        <w:gridCol w:w="146"/>
        <w:gridCol w:w="226"/>
        <w:gridCol w:w="842"/>
        <w:gridCol w:w="181"/>
        <w:gridCol w:w="146"/>
        <w:gridCol w:w="226"/>
        <w:gridCol w:w="842"/>
        <w:gridCol w:w="233"/>
      </w:tblGrid>
      <w:tr>
        <w:trPr/>
        <w:tc>
          <w:tcPr>
            <w:tcW w:w="7363" w:type="dxa"/>
            <w:gridSpan w:val="8"/>
            <w:tcBorders/>
            <w:vAlign w:val="center"/>
          </w:tcPr>
          <w:p>
            <w:pPr>
              <w:pStyle w:val="TableContents"/>
              <w:bidi w:val="0"/>
              <w:spacing w:before="0" w:after="283"/>
              <w:jc w:val="center"/>
              <w:rPr/>
            </w:pPr>
            <w:r>
              <w:rPr/>
              <w:t>FILANA THERAPEUTICS, INC.</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p>
        </w:tc>
      </w:tr>
      <w:tr>
        <w:trPr/>
        <w:tc>
          <w:tcPr>
            <w:tcW w:w="7363" w:type="dxa"/>
            <w:gridSpan w:val="8"/>
            <w:tcBorders/>
            <w:vAlign w:val="center"/>
          </w:tcPr>
          <w:p>
            <w:pPr>
              <w:pStyle w:val="TableContents"/>
              <w:bidi w:val="0"/>
              <w:spacing w:before="0" w:after="283"/>
              <w:jc w:val="center"/>
              <w:rPr/>
            </w:pPr>
            <w:r>
              <w:rPr/>
              <w:t>CONDENSED CONSOLIDATED STATEMENTS OF OPERATIONS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p>
        </w:tc>
      </w:tr>
      <w:tr>
        <w:trPr/>
        <w:tc>
          <w:tcPr>
            <w:tcW w:w="7363" w:type="dxa"/>
            <w:gridSpan w:val="8"/>
            <w:tcBorders/>
            <w:vAlign w:val="center"/>
          </w:tcPr>
          <w:p>
            <w:pPr>
              <w:pStyle w:val="TableContents"/>
              <w:bidi w:val="0"/>
              <w:spacing w:before="0" w:after="283"/>
              <w:jc w:val="center"/>
              <w:rPr/>
            </w:pPr>
            <w:r>
              <w:rPr/>
              <w:t>(unaudited, in thousands, except per share amounts)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p>
        </w:tc>
      </w:tr>
      <w:tr>
        <w:trPr/>
        <w:tc>
          <w:tcPr>
            <w:tcW w:w="4208"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center"/>
              <w:rPr/>
            </w:pPr>
            <w:r>
              <w:rPr/>
              <w:t> </w:t>
            </w:r>
          </w:p>
        </w:tc>
        <w:tc>
          <w:tcPr>
            <w:tcW w:w="116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center"/>
              <w:rPr/>
            </w:pPr>
            <w:r>
              <w:rPr/>
              <w:t> </w:t>
            </w:r>
          </w:p>
        </w:tc>
        <w:tc>
          <w:tcPr>
            <w:tcW w:w="1348"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left"/>
              <w:rPr/>
            </w:pPr>
            <w:r>
              <w:rPr/>
              <w:t> </w:t>
            </w:r>
          </w:p>
        </w:tc>
      </w:tr>
      <w:tr>
        <w:trPr/>
        <w:tc>
          <w:tcPr>
            <w:tcW w:w="4208" w:type="dxa"/>
            <w:tcBorders/>
            <w:vAlign w:val="center"/>
          </w:tcPr>
          <w:p>
            <w:pPr>
              <w:pStyle w:val="TableContents"/>
              <w:bidi w:val="0"/>
              <w:spacing w:before="0" w:after="283"/>
              <w:jc w:val="right"/>
              <w:rPr/>
            </w:pPr>
            <w:r>
              <w:rPr/>
              <w:t> </w:t>
            </w:r>
          </w:p>
        </w:tc>
        <w:tc>
          <w:tcPr>
            <w:tcW w:w="3155" w:type="dxa"/>
            <w:gridSpan w:val="7"/>
            <w:tcBorders/>
            <w:vAlign w:val="center"/>
          </w:tcPr>
          <w:p>
            <w:pPr>
              <w:pStyle w:val="TableContents"/>
              <w:bidi w:val="0"/>
              <w:spacing w:before="0" w:after="283"/>
              <w:jc w:val="center"/>
              <w:rPr/>
            </w:pPr>
            <w:r>
              <w:rPr/>
              <w:t>Three months ended June 30,</w:t>
            </w:r>
          </w:p>
        </w:tc>
        <w:tc>
          <w:tcPr>
            <w:tcW w:w="146" w:type="dxa"/>
            <w:tcBorders/>
            <w:vAlign w:val="center"/>
          </w:tcPr>
          <w:p>
            <w:pPr>
              <w:pStyle w:val="TableContents"/>
              <w:bidi w:val="0"/>
              <w:spacing w:before="0" w:after="283"/>
              <w:jc w:val="left"/>
              <w:rPr/>
            </w:pPr>
            <w:r>
              <w:rPr/>
              <w:t> </w:t>
            </w:r>
          </w:p>
        </w:tc>
        <w:tc>
          <w:tcPr>
            <w:tcW w:w="2696" w:type="dxa"/>
            <w:gridSpan w:val="7"/>
            <w:tcBorders/>
            <w:vAlign w:val="center"/>
          </w:tcPr>
          <w:p>
            <w:pPr>
              <w:pStyle w:val="TableContents"/>
              <w:bidi w:val="0"/>
              <w:spacing w:before="0" w:after="283"/>
              <w:jc w:val="center"/>
              <w:rPr/>
            </w:pPr>
            <w:r>
              <w:rPr/>
              <w:t>Six months ended June 30,</w:t>
            </w:r>
          </w:p>
        </w:tc>
      </w:tr>
      <w:tr>
        <w:trPr/>
        <w:tc>
          <w:tcPr>
            <w:tcW w:w="4208" w:type="dxa"/>
            <w:tcBorders/>
            <w:vAlign w:val="center"/>
          </w:tcPr>
          <w:p>
            <w:pPr>
              <w:pStyle w:val="TableContents"/>
              <w:bidi w:val="0"/>
              <w:spacing w:before="0" w:after="283"/>
              <w:jc w:val="left"/>
              <w:rPr/>
            </w:pPr>
            <w:r>
              <w:rPr/>
              <w:t> </w:t>
            </w:r>
          </w:p>
        </w:tc>
        <w:tc>
          <w:tcPr>
            <w:tcW w:w="139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vAlign w:val="center"/>
          </w:tcPr>
          <w:p>
            <w:pPr>
              <w:pStyle w:val="TableContents"/>
              <w:bidi w:val="0"/>
              <w:spacing w:before="0" w:after="283"/>
              <w:jc w:val="center"/>
              <w:rPr/>
            </w:pPr>
            <w:r>
              <w:rPr/>
              <w:t> </w:t>
            </w:r>
          </w:p>
        </w:tc>
        <w:tc>
          <w:tcPr>
            <w:tcW w:w="161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vAlign w:val="center"/>
          </w:tcPr>
          <w:p>
            <w:pPr>
              <w:pStyle w:val="TableContents"/>
              <w:bidi w:val="0"/>
              <w:spacing w:before="0" w:after="283"/>
              <w:jc w:val="center"/>
              <w:rPr/>
            </w:pPr>
            <w:r>
              <w:rPr/>
              <w:t> </w:t>
            </w:r>
          </w:p>
        </w:tc>
        <w:tc>
          <w:tcPr>
            <w:tcW w:w="124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vAlign w:val="center"/>
          </w:tcPr>
          <w:p>
            <w:pPr>
              <w:pStyle w:val="TableContents"/>
              <w:bidi w:val="0"/>
              <w:spacing w:before="0" w:after="283"/>
              <w:jc w:val="center"/>
              <w:rPr/>
            </w:pPr>
            <w:r>
              <w:rPr/>
              <w:t> </w:t>
            </w:r>
          </w:p>
        </w:tc>
        <w:tc>
          <w:tcPr>
            <w:tcW w:w="130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Operating expenses</w:t>
            </w:r>
          </w:p>
        </w:tc>
        <w:tc>
          <w:tcPr>
            <w:tcW w:w="230" w:type="dxa"/>
            <w:tcBorders/>
            <w:vAlign w:val="center"/>
          </w:tcPr>
          <w:p>
            <w:pPr>
              <w:pStyle w:val="TableContents"/>
              <w:bidi w:val="0"/>
              <w:spacing w:before="0" w:after="283"/>
              <w:jc w:val="center"/>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center"/>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30"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3,303</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w:t>
            </w:r>
          </w:p>
        </w:tc>
        <w:tc>
          <w:tcPr>
            <w:tcW w:w="1135" w:type="dxa"/>
            <w:tcBorders/>
            <w:vAlign w:val="center"/>
          </w:tcPr>
          <w:p>
            <w:pPr>
              <w:pStyle w:val="TableContents"/>
              <w:bidi w:val="0"/>
              <w:spacing w:before="0" w:after="283"/>
              <w:jc w:val="right"/>
              <w:rPr/>
            </w:pPr>
            <w:r>
              <w:rPr/>
              <w:t>5,116</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42" w:type="dxa"/>
            <w:tcBorders/>
            <w:vAlign w:val="center"/>
          </w:tcPr>
          <w:p>
            <w:pPr>
              <w:pStyle w:val="TableContents"/>
              <w:bidi w:val="0"/>
              <w:spacing w:before="0" w:after="283"/>
              <w:jc w:val="right"/>
              <w:rPr/>
            </w:pPr>
            <w:r>
              <w:rPr/>
              <w:t>7,847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2" w:type="dxa"/>
            <w:tcBorders/>
            <w:vAlign w:val="center"/>
          </w:tcPr>
          <w:p>
            <w:pPr>
              <w:pStyle w:val="TableContents"/>
              <w:bidi w:val="0"/>
              <w:spacing w:before="0" w:after="283"/>
              <w:jc w:val="right"/>
              <w:rPr/>
            </w:pPr>
            <w:r>
              <w:rPr/>
              <w:t>18,782</w:t>
            </w:r>
          </w:p>
        </w:tc>
        <w:tc>
          <w:tcPr>
            <w:tcW w:w="233" w:type="dxa"/>
            <w:tcBorders/>
            <w:vAlign w:val="center"/>
          </w:tcPr>
          <w:p>
            <w:pPr>
              <w:pStyle w:val="TableContents"/>
              <w:bidi w:val="0"/>
              <w:spacing w:before="0" w:after="283"/>
              <w:jc w:val="lef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6,090</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40,276</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12,714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51,196</w:t>
            </w:r>
          </w:p>
        </w:tc>
        <w:tc>
          <w:tcPr>
            <w:tcW w:w="233" w:type="dxa"/>
            <w:tcBorders/>
            <w:vAlign w:val="center"/>
          </w:tcPr>
          <w:p>
            <w:pPr>
              <w:pStyle w:val="TableContents"/>
              <w:bidi w:val="0"/>
              <w:spacing w:before="0" w:after="283"/>
              <w:jc w:val="lef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9,393</w:t>
            </w:r>
          </w:p>
        </w:tc>
        <w:tc>
          <w:tcPr>
            <w:tcW w:w="1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45,392</w:t>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20,561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69,978</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Operating loss</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(9,393</w:t>
            </w:r>
          </w:p>
        </w:tc>
        <w:tc>
          <w:tcPr>
            <w:tcW w:w="18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(45,392</w:t>
            </w:r>
          </w:p>
        </w:tc>
        <w:tc>
          <w:tcPr>
            <w:tcW w:w="21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(20,561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(69,978</w:t>
            </w:r>
          </w:p>
        </w:tc>
        <w:tc>
          <w:tcPr>
            <w:tcW w:w="233" w:type="dxa"/>
            <w:tcBorders/>
            <w:vAlign w:val="center"/>
          </w:tcPr>
          <w:p>
            <w:pPr>
              <w:pStyle w:val="TableContents"/>
              <w:bidi w:val="0"/>
              <w:spacing w:before="0" w:after="283"/>
              <w:jc w:val="left"/>
              <w:rPr/>
            </w:pPr>
            <w:r>
              <w:rPr/>
              <w:t>)</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747</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1,214</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1,536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2,479</w:t>
            </w:r>
          </w:p>
        </w:tc>
        <w:tc>
          <w:tcPr>
            <w:tcW w:w="233" w:type="dxa"/>
            <w:tcBorders/>
            <w:vAlign w:val="center"/>
          </w:tcPr>
          <w:p>
            <w:pPr>
              <w:pStyle w:val="TableContents"/>
              <w:bidi w:val="0"/>
              <w:spacing w:before="0" w:after="283"/>
              <w:jc w:val="lef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Other income (loss), net</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43</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(46</w:t>
            </w:r>
          </w:p>
        </w:tc>
        <w:tc>
          <w:tcPr>
            <w:tcW w:w="21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2" w:type="dxa"/>
            <w:tcBorders/>
            <w:vAlign w:val="center"/>
          </w:tcPr>
          <w:p>
            <w:pPr>
              <w:pStyle w:val="TableContents"/>
              <w:bidi w:val="0"/>
              <w:spacing w:before="0" w:after="283"/>
              <w:jc w:val="right"/>
              <w:rPr/>
            </w:pPr>
            <w:r>
              <w:rPr/>
              <w:t>(128</w:t>
            </w:r>
          </w:p>
        </w:tc>
        <w:tc>
          <w:tcPr>
            <w:tcW w:w="233" w:type="dxa"/>
            <w:tcBorders/>
            <w:vAlign w:val="center"/>
          </w:tcPr>
          <w:p>
            <w:pPr>
              <w:pStyle w:val="TableContents"/>
              <w:bidi w:val="0"/>
              <w:spacing w:before="0" w:after="283"/>
              <w:jc w:val="left"/>
              <w:rPr/>
            </w:pPr>
            <w:r>
              <w:rPr/>
              <w:t>)</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(8,603</w:t>
            </w:r>
          </w:p>
        </w:tc>
        <w:tc>
          <w:tcPr>
            <w:tcW w:w="1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(44,224</w:t>
            </w:r>
          </w:p>
        </w:tc>
        <w:tc>
          <w:tcPr>
            <w:tcW w:w="2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(18,934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(67,627</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208"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c>
          <w:tcPr>
            <w:tcW w:w="116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348"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2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75" w:type="dxa"/>
            <w:gridSpan w:val="2"/>
            <w:tcBorders/>
            <w:vAlign w:val="center"/>
          </w:tcPr>
          <w:p>
            <w:pPr>
              <w:pStyle w:val="TableContents"/>
              <w:bidi w:val="0"/>
              <w:spacing w:before="0" w:after="283"/>
              <w:jc w:val="left"/>
              <w:rPr/>
            </w:pPr>
            <w:r>
              <w:rPr/>
              <w:t> </w:t>
            </w:r>
          </w:p>
        </w:tc>
      </w:tr>
      <w:tr>
        <w:trPr/>
        <w:tc>
          <w:tcPr>
            <w:tcW w:w="4208" w:type="dxa"/>
            <w:tcBorders/>
            <w:vAlign w:val="center"/>
          </w:tcPr>
          <w:p>
            <w:pPr>
              <w:pStyle w:val="TableContents"/>
              <w:bidi w:val="0"/>
              <w:spacing w:before="0" w:after="283"/>
              <w:jc w:val="left"/>
              <w:rPr/>
            </w:pPr>
            <w:r>
              <w:rPr/>
              <w:t>Net loss per share, basic and diluted</w:t>
            </w:r>
          </w:p>
        </w:tc>
        <w:tc>
          <w:tcPr>
            <w:tcW w:w="230"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(0.18</w:t>
            </w:r>
          </w:p>
        </w:tc>
        <w:tc>
          <w:tcPr>
            <w:tcW w:w="18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w:t>
            </w:r>
          </w:p>
        </w:tc>
        <w:tc>
          <w:tcPr>
            <w:tcW w:w="1135" w:type="dxa"/>
            <w:tcBorders/>
            <w:vAlign w:val="center"/>
          </w:tcPr>
          <w:p>
            <w:pPr>
              <w:pStyle w:val="TableContents"/>
              <w:bidi w:val="0"/>
              <w:spacing w:before="0" w:after="283"/>
              <w:jc w:val="right"/>
              <w:rPr/>
            </w:pPr>
            <w:r>
              <w:rPr/>
              <w:t>(0.92</w:t>
            </w:r>
          </w:p>
        </w:tc>
        <w:tc>
          <w:tcPr>
            <w:tcW w:w="21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42" w:type="dxa"/>
            <w:tcBorders/>
            <w:vAlign w:val="center"/>
          </w:tcPr>
          <w:p>
            <w:pPr>
              <w:pStyle w:val="TableContents"/>
              <w:bidi w:val="0"/>
              <w:spacing w:before="0" w:after="283"/>
              <w:jc w:val="right"/>
              <w:rPr/>
            </w:pPr>
            <w:r>
              <w:rPr/>
              <w:t>(0.39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2" w:type="dxa"/>
            <w:tcBorders/>
            <w:vAlign w:val="center"/>
          </w:tcPr>
          <w:p>
            <w:pPr>
              <w:pStyle w:val="TableContents"/>
              <w:bidi w:val="0"/>
              <w:spacing w:before="0" w:after="283"/>
              <w:jc w:val="right"/>
              <w:rPr/>
            </w:pPr>
            <w:r>
              <w:rPr/>
              <w:t>(1.40</w:t>
            </w:r>
          </w:p>
        </w:tc>
        <w:tc>
          <w:tcPr>
            <w:tcW w:w="233" w:type="dxa"/>
            <w:tcBorders/>
            <w:vAlign w:val="center"/>
          </w:tcPr>
          <w:p>
            <w:pPr>
              <w:pStyle w:val="TableContents"/>
              <w:bidi w:val="0"/>
              <w:spacing w:before="0" w:after="283"/>
              <w:jc w:val="left"/>
              <w:rPr/>
            </w:pPr>
            <w:r>
              <w:rPr/>
              <w:t>)</w:t>
            </w:r>
          </w:p>
        </w:tc>
      </w:tr>
      <w:tr>
        <w:trPr/>
        <w:tc>
          <w:tcPr>
            <w:tcW w:w="4208"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center"/>
              <w:rPr/>
            </w:pPr>
            <w:r>
              <w:rPr/>
              <w:t> </w:t>
            </w:r>
          </w:p>
        </w:tc>
        <w:tc>
          <w:tcPr>
            <w:tcW w:w="116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center"/>
              <w:rPr/>
            </w:pPr>
            <w:r>
              <w:rPr/>
              <w:t> </w:t>
            </w:r>
          </w:p>
        </w:tc>
        <w:tc>
          <w:tcPr>
            <w:tcW w:w="1348"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left"/>
              <w:rPr/>
            </w:pPr>
            <w:r>
              <w:rPr/>
              <w:t> </w:t>
            </w:r>
          </w:p>
        </w:tc>
      </w:tr>
      <w:tr>
        <w:trPr/>
        <w:tc>
          <w:tcPr>
            <w:tcW w:w="4208" w:type="dxa"/>
            <w:tcBorders/>
            <w:vAlign w:val="center"/>
          </w:tcPr>
          <w:p>
            <w:pPr>
              <w:pStyle w:val="TableContents"/>
              <w:bidi w:val="0"/>
              <w:spacing w:before="0" w:after="283"/>
              <w:jc w:val="left"/>
              <w:rPr/>
            </w:pPr>
            <w:r>
              <w:rPr/>
              <w:t>Weighted-average shares used in computing net loss per share, basic and diluted</w:t>
            </w:r>
          </w:p>
        </w:tc>
        <w:tc>
          <w:tcPr>
            <w:tcW w:w="230" w:type="dxa"/>
            <w:tcBorders>
              <w:bottom w:val="double" w:sz="8" w:space="0" w:color="000000"/>
            </w:tcBorders>
            <w:tcMar>
              <w:top w:w="0" w:type="dxa"/>
              <w:left w:w="0" w:type="dxa"/>
              <w:right w:w="0" w:type="dxa"/>
            </w:tcMar>
            <w:vAlign w:val="center"/>
          </w:tcPr>
          <w:p>
            <w:pPr>
              <w:pStyle w:val="TableContents"/>
              <w:bidi w:val="0"/>
              <w:spacing w:before="0" w:after="283"/>
              <w:jc w:val="center"/>
              <w:rPr/>
            </w:pPr>
            <w:r>
              <w:rPr/>
              <w:t> </w:t>
            </w:r>
          </w:p>
        </w:tc>
        <w:tc>
          <w:tcPr>
            <w:tcW w:w="98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48,308</w:t>
            </w:r>
          </w:p>
        </w:tc>
        <w:tc>
          <w:tcPr>
            <w:tcW w:w="18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bottom w:val="double" w:sz="8" w:space="0" w:color="000000"/>
            </w:tcBorders>
            <w:tcMar>
              <w:top w:w="0" w:type="dxa"/>
              <w:left w:w="0" w:type="dxa"/>
              <w:right w:w="0" w:type="dxa"/>
            </w:tcMar>
            <w:vAlign w:val="center"/>
          </w:tcPr>
          <w:p>
            <w:pPr>
              <w:pStyle w:val="TableContents"/>
              <w:bidi w:val="0"/>
              <w:spacing w:before="0" w:after="283"/>
              <w:jc w:val="center"/>
              <w:rPr/>
            </w:pPr>
            <w:r>
              <w:rPr/>
              <w:t> </w:t>
            </w:r>
          </w:p>
        </w:tc>
        <w:tc>
          <w:tcPr>
            <w:tcW w:w="113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48,308</w:t>
            </w:r>
          </w:p>
        </w:tc>
        <w:tc>
          <w:tcPr>
            <w:tcW w:w="21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48,308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48,285</w:t>
            </w:r>
          </w:p>
        </w:tc>
        <w:tc>
          <w:tcPr>
            <w:tcW w:w="23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08"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7363" w:type="dxa"/>
            <w:gridSpan w:val="8"/>
            <w:tcBorders/>
            <w:vAlign w:val="center"/>
          </w:tcPr>
          <w:p>
            <w:pPr>
              <w:pStyle w:val="TableContents"/>
              <w:bidi w:val="0"/>
              <w:spacing w:before="0" w:after="283"/>
              <w:jc w:val="center"/>
              <w:rPr/>
            </w:pPr>
            <w:r>
              <w:rPr/>
              <w:t>CONDENSED CONSOLIDATED BALANCE SHEETS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2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75" w:type="dxa"/>
            <w:gridSpan w:val="2"/>
            <w:tcBorders/>
            <w:vAlign w:val="center"/>
          </w:tcPr>
          <w:p>
            <w:pPr>
              <w:pStyle w:val="TableContents"/>
              <w:bidi w:val="0"/>
              <w:spacing w:before="0" w:after="283"/>
              <w:jc w:val="right"/>
              <w:rPr/>
            </w:pPr>
            <w:r>
              <w:rPr/>
              <w:t> </w:t>
            </w:r>
          </w:p>
        </w:tc>
      </w:tr>
      <w:tr>
        <w:trPr/>
        <w:tc>
          <w:tcPr>
            <w:tcW w:w="7363" w:type="dxa"/>
            <w:gridSpan w:val="8"/>
            <w:tcBorders/>
            <w:vAlign w:val="center"/>
          </w:tcPr>
          <w:p>
            <w:pPr>
              <w:pStyle w:val="TableContents"/>
              <w:bidi w:val="0"/>
              <w:spacing w:before="0" w:after="283"/>
              <w:jc w:val="center"/>
              <w:rPr/>
            </w:pPr>
            <w:r>
              <w:rPr/>
              <w:t>(unaudited, in thousands)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2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75" w:type="dxa"/>
            <w:gridSpan w:val="2"/>
            <w:tcBorders/>
            <w:vAlign w:val="center"/>
          </w:tcPr>
          <w:p>
            <w:pPr>
              <w:pStyle w:val="TableContents"/>
              <w:bidi w:val="0"/>
              <w:spacing w:before="0" w:after="283"/>
              <w:jc w:val="left"/>
              <w:rPr/>
            </w:pPr>
            <w:r>
              <w:rPr/>
              <w:t> </w:t>
            </w:r>
          </w:p>
        </w:tc>
      </w:tr>
      <w:tr>
        <w:trPr/>
        <w:tc>
          <w:tcPr>
            <w:tcW w:w="4208" w:type="dxa"/>
            <w:tcBorders/>
            <w:vAlign w:val="center"/>
          </w:tcPr>
          <w:p>
            <w:pPr>
              <w:pStyle w:val="TableContents"/>
              <w:bidi w:val="0"/>
              <w:spacing w:before="0" w:after="283"/>
              <w:jc w:val="right"/>
              <w:rPr/>
            </w:pPr>
            <w:r>
              <w:rPr/>
              <w:t> </w:t>
            </w:r>
          </w:p>
        </w:tc>
        <w:tc>
          <w:tcPr>
            <w:tcW w:w="139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June 30, 2026</w:t>
            </w:r>
          </w:p>
        </w:tc>
        <w:tc>
          <w:tcPr>
            <w:tcW w:w="146" w:type="dxa"/>
            <w:tcBorders/>
            <w:vAlign w:val="center"/>
          </w:tcPr>
          <w:p>
            <w:pPr>
              <w:pStyle w:val="TableContents"/>
              <w:bidi w:val="0"/>
              <w:spacing w:before="0" w:after="283"/>
              <w:jc w:val="center"/>
              <w:rPr/>
            </w:pPr>
            <w:r>
              <w:rPr/>
              <w:t> </w:t>
            </w:r>
          </w:p>
        </w:tc>
        <w:tc>
          <w:tcPr>
            <w:tcW w:w="161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December 31, 2025</w:t>
            </w:r>
          </w:p>
        </w:tc>
        <w:tc>
          <w:tcPr>
            <w:tcW w:w="146" w:type="dxa"/>
            <w:tcBorders/>
            <w:vAlign w:val="center"/>
          </w:tcPr>
          <w:p>
            <w:pPr>
              <w:pStyle w:val="TableContents"/>
              <w:bidi w:val="0"/>
              <w:spacing w:before="0" w:after="283"/>
              <w:jc w:val="left"/>
              <w:rPr/>
            </w:pPr>
            <w:r>
              <w:rPr/>
              <w:t> </w:t>
            </w:r>
          </w:p>
        </w:tc>
        <w:tc>
          <w:tcPr>
            <w:tcW w:w="1249"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1" w:type="dxa"/>
            <w:gridSpan w:val="3"/>
            <w:tcBorders/>
            <w:vAlign w:val="center"/>
          </w:tcPr>
          <w:p>
            <w:pPr>
              <w:pStyle w:val="TableContents"/>
              <w:bidi w:val="0"/>
              <w:spacing w:before="0" w:after="283"/>
              <w:jc w:val="center"/>
              <w:rPr/>
            </w:pPr>
            <w:r>
              <w:rPr/>
              <w:t> </w:t>
            </w:r>
          </w:p>
        </w:tc>
      </w:tr>
      <w:tr>
        <w:trPr/>
        <w:tc>
          <w:tcPr>
            <w:tcW w:w="4208" w:type="dxa"/>
            <w:tcBorders/>
            <w:vAlign w:val="center"/>
          </w:tcPr>
          <w:p>
            <w:pPr>
              <w:pStyle w:val="TableContents"/>
              <w:bidi w:val="0"/>
              <w:spacing w:before="0" w:after="283"/>
              <w:jc w:val="left"/>
              <w:rPr/>
            </w:pPr>
            <w:r>
              <w:rPr>
                <w:rStyle w:val="StrongEmphasis"/>
              </w:rPr>
              <w:t>Assets</w:t>
            </w:r>
          </w:p>
        </w:tc>
        <w:tc>
          <w:tcPr>
            <w:tcW w:w="23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vAlign w:val="center"/>
          </w:tcPr>
          <w:p>
            <w:pPr>
              <w:pStyle w:val="TableContents"/>
              <w:bidi w:val="0"/>
              <w:spacing w:before="0" w:after="283"/>
              <w:jc w:val="left"/>
              <w:rPr/>
            </w:pPr>
            <w:r>
              <w:rPr/>
              <w:t>Current assets</w:t>
            </w:r>
          </w:p>
        </w:tc>
        <w:tc>
          <w:tcPr>
            <w:tcW w:w="23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30"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82,681</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w:t>
            </w:r>
          </w:p>
        </w:tc>
        <w:tc>
          <w:tcPr>
            <w:tcW w:w="1135" w:type="dxa"/>
            <w:tcBorders/>
            <w:vAlign w:val="center"/>
          </w:tcPr>
          <w:p>
            <w:pPr>
              <w:pStyle w:val="TableContents"/>
              <w:bidi w:val="0"/>
              <w:spacing w:before="0" w:after="283"/>
              <w:jc w:val="right"/>
              <w:rPr/>
            </w:pPr>
            <w:r>
              <w:rPr/>
              <w:t>95,502</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1,042</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2,207</w:t>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83,723</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97,709</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vAlign w:val="center"/>
          </w:tcPr>
          <w:p>
            <w:pPr>
              <w:pStyle w:val="TableContents"/>
              <w:bidi w:val="0"/>
              <w:spacing w:before="0" w:after="283"/>
              <w:jc w:val="left"/>
              <w:rPr/>
            </w:pPr>
            <w:r>
              <w:rPr/>
              <w:t>Property and equipment, net</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20,180</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20,646</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103,903</w:t>
            </w:r>
          </w:p>
        </w:tc>
        <w:tc>
          <w:tcPr>
            <w:tcW w:w="1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118,355</w:t>
            </w:r>
          </w:p>
        </w:tc>
        <w:tc>
          <w:tcPr>
            <w:tcW w:w="2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vAlign w:val="center"/>
          </w:tcPr>
          <w:p>
            <w:pPr>
              <w:pStyle w:val="TableContents"/>
              <w:bidi w:val="0"/>
              <w:spacing w:before="0" w:after="283"/>
              <w:jc w:val="left"/>
              <w:rPr/>
            </w:pPr>
            <w:r>
              <w:rPr>
                <w:rStyle w:val="StrongEmphasis"/>
              </w:rPr>
              <w:t>Liabilities and stockholders’ equity</w:t>
            </w:r>
          </w:p>
        </w:tc>
        <w:tc>
          <w:tcPr>
            <w:tcW w:w="230" w:type="dxa"/>
            <w:tcBorders/>
            <w:vAlign w:val="center"/>
          </w:tcPr>
          <w:p>
            <w:pPr>
              <w:pStyle w:val="TableContents"/>
              <w:bidi w:val="0"/>
              <w:spacing w:before="0" w:after="283"/>
              <w:jc w:val="right"/>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vAlign w:val="center"/>
          </w:tcPr>
          <w:p>
            <w:pPr>
              <w:pStyle w:val="TableContents"/>
              <w:bidi w:val="0"/>
              <w:spacing w:before="0" w:after="283"/>
              <w:jc w:val="left"/>
              <w:rPr/>
            </w:pPr>
            <w:r>
              <w:rPr/>
              <w:t>Current liabilities</w:t>
            </w:r>
          </w:p>
        </w:tc>
        <w:tc>
          <w:tcPr>
            <w:tcW w:w="230" w:type="dxa"/>
            <w:tcBorders/>
            <w:vAlign w:val="center"/>
          </w:tcPr>
          <w:p>
            <w:pPr>
              <w:pStyle w:val="TableContents"/>
              <w:bidi w:val="0"/>
              <w:spacing w:before="0" w:after="283"/>
              <w:jc w:val="right"/>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Accounts payable and other accrued expenses</w:t>
            </w:r>
          </w:p>
        </w:tc>
        <w:tc>
          <w:tcPr>
            <w:tcW w:w="230"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39,291</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w:t>
            </w:r>
          </w:p>
        </w:tc>
        <w:tc>
          <w:tcPr>
            <w:tcW w:w="1135" w:type="dxa"/>
            <w:tcBorders/>
            <w:vAlign w:val="center"/>
          </w:tcPr>
          <w:p>
            <w:pPr>
              <w:pStyle w:val="TableContents"/>
              <w:bidi w:val="0"/>
              <w:spacing w:before="0" w:after="283"/>
              <w:jc w:val="right"/>
              <w:rPr/>
            </w:pPr>
            <w:r>
              <w:rPr/>
              <w:t>41,647</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Accrued development expense</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361</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364</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Accrued compensation and benefits</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385</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1,625</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Other current liabilities</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121</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198</w:t>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40,158</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43,834</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Other non-current liabilities</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w:t>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40,294</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43,952</w:t>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vAlign w:val="center"/>
          </w:tcPr>
          <w:p>
            <w:pPr>
              <w:pStyle w:val="TableContents"/>
              <w:bidi w:val="0"/>
              <w:spacing w:before="0" w:after="283"/>
              <w:jc w:val="left"/>
              <w:rPr/>
            </w:pPr>
            <w:r>
              <w:rPr/>
              <w:t>Stockholders’ equity</w:t>
            </w:r>
          </w:p>
        </w:tc>
        <w:tc>
          <w:tcPr>
            <w:tcW w:w="230" w:type="dxa"/>
            <w:tcBorders/>
            <w:vAlign w:val="center"/>
          </w:tcPr>
          <w:p>
            <w:pPr>
              <w:pStyle w:val="TableContents"/>
              <w:bidi w:val="0"/>
              <w:spacing w:before="0" w:after="283"/>
              <w:jc w:val="right"/>
              <w:rPr/>
            </w:pPr>
            <w:r>
              <w:rPr/>
              <w:t> </w:t>
            </w:r>
          </w:p>
        </w:tc>
        <w:tc>
          <w:tcPr>
            <w:tcW w:w="116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34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Common Stock and additional paid-in-capital</w:t>
            </w:r>
          </w:p>
        </w:tc>
        <w:tc>
          <w:tcPr>
            <w:tcW w:w="230"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578,627</w:t>
            </w:r>
          </w:p>
        </w:tc>
        <w:tc>
          <w:tcPr>
            <w:tcW w:w="1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570,487</w:t>
            </w:r>
          </w:p>
        </w:tc>
        <w:tc>
          <w:tcPr>
            <w:tcW w:w="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(515,018</w:t>
            </w:r>
          </w:p>
        </w:tc>
        <w:tc>
          <w:tcPr>
            <w:tcW w:w="18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(496,084</w:t>
            </w:r>
          </w:p>
        </w:tc>
        <w:tc>
          <w:tcPr>
            <w:tcW w:w="21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230" w:type="dxa"/>
            <w:tcBorders/>
            <w:vAlign w:val="center"/>
          </w:tcPr>
          <w:p>
            <w:pPr>
              <w:pStyle w:val="TableContents"/>
              <w:bidi w:val="0"/>
              <w:spacing w:before="0" w:after="283"/>
              <w:jc w:val="right"/>
              <w:rPr/>
            </w:pPr>
            <w:r>
              <w:rPr/>
              <w:t> </w:t>
            </w:r>
          </w:p>
        </w:tc>
        <w:tc>
          <w:tcPr>
            <w:tcW w:w="9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63,609</w:t>
            </w:r>
          </w:p>
        </w:tc>
        <w:tc>
          <w:tcPr>
            <w:tcW w:w="1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right"/>
              <w:rPr/>
            </w:pPr>
            <w:r>
              <w:rPr/>
              <w:t> </w:t>
            </w:r>
          </w:p>
        </w:tc>
        <w:tc>
          <w:tcPr>
            <w:tcW w:w="11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74,403</w:t>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right"/>
              <w:rPr/>
            </w:pPr>
            <w:r>
              <w:rPr/>
              <w:t> </w:t>
            </w:r>
          </w:p>
        </w:tc>
      </w:tr>
      <w:tr>
        <w:trPr/>
        <w:tc>
          <w:tcPr>
            <w:tcW w:w="4208" w:type="dxa"/>
            <w:tcBorders/>
            <w:tcMar>
              <w:top w:w="0" w:type="dxa"/>
              <w:left w:w="0" w:type="dxa"/>
              <w:bottom w:w="0" w:type="dxa"/>
              <w:right w:w="0" w:type="dxa"/>
            </w:tcMar>
            <w:vAlign w:val="center"/>
          </w:tcPr>
          <w:p>
            <w:pPr>
              <w:pStyle w:val="TableContents"/>
              <w:bidi w:val="0"/>
              <w:spacing w:before="0" w:after="283"/>
              <w:jc w:val="left"/>
              <w:rPr/>
            </w:pPr>
            <w:r>
              <w:rPr/>
              <w:t>Total liabilities and stockholders’ equity</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103,903</w:t>
            </w:r>
          </w:p>
        </w:tc>
        <w:tc>
          <w:tcPr>
            <w:tcW w:w="1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118,355</w:t>
            </w:r>
          </w:p>
        </w:tc>
        <w:tc>
          <w:tcPr>
            <w:tcW w:w="2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2334</Words>
  <Characters>13386</Characters>
  <CharactersWithSpaces>15899</CharactersWithSpaces>
  <Paragraphs>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