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Barry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6801 N CAPITAL OF TEXAS HWY, BLDG 1</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FILANA THERAPEUTICS, INC.</w:t>
              </w:r>
            </w:hyperlink>
            <w:r>
              <w:rPr/>
              <w:t xml:space="preserve"> [ </w:t>
            </w:r>
            <w:r>
              <w:rPr>
                <w:rFonts w:ascii="Times;serif" w:hAnsi="Times;serif"/>
                <w:color w:val="0000FF"/>
                <w:sz w:val="24"/>
                <w:shd w:fill="FFFFFF" w:val="clear"/>
              </w:rPr>
              <w:t>FLNA</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07"/>
        <w:gridCol w:w="443"/>
        <w:gridCol w:w="705"/>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206,813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1,237,964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0.92</w:t>
            </w:r>
            <w:r>
              <w:rPr>
                <w:rFonts w:ascii="Times;serif" w:hAnsi="Times;serif"/>
                <w:color w:val="008000"/>
                <w:position w:val="7"/>
                <w:sz w:val="16"/>
                <w:sz w:val="20"/>
                <w:shd w:fill="FFFFFF" w:val="clear"/>
              </w:rPr>
              <w:t>(2)</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1,337,964</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purchase reported in column 4 is a weighted average price. The shares were purchased in multiple open market transactions at prices ranging from $0.86 to $0.94 per share. The reporting person undertakes to provide to Filana, any security holder of Filana or the staff of the Securities and Exchange Commission, upon request, full information regarding the number of shares acquired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purchase reported in column 4 is a weighted average price. The shares were purchased in multiple open market transactions at prices ranging from $0.91 to $0.93 per share. The reporting person undertakes to provide to Filana, any security holder of Filana or the staff of the Securities and Exchange Commission, upon request, full information regarding the number of shares acquired at each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J. Schoen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2371" TargetMode="External"/><Relationship Id="rId5" Type="http://schemas.openxmlformats.org/officeDocument/2006/relationships/hyperlink" Target="http://www.sec.gov/cgi-bin/browse-edgar?action=getcompany&amp;CIK=00010695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731</Words>
  <Characters>3899</Characters>
  <CharactersWithSpaces>4551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